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B7B33" w:rsidRPr="00BB7B33" w:rsidP="00A56AED">
      <w:pPr>
        <w:pStyle w:val="Covertitle"/>
      </w:pPr>
      <w:r w:rsidRPr="00BB7B33">
        <w:rPr>
          <w:noProof/>
        </w:rPr>
        <w:t>2024</w:t>
      </w:r>
      <w:r w:rsidRPr="00BB7B33">
        <w:t xml:space="preserve"> Annual Report to the School Community</w:t>
      </w:r>
    </w:p>
    <w:tbl>
      <w:tblPr>
        <w:tblStyle w:val="TableGrid1"/>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E55EC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BB7B33" w:rsidRPr="00BB7B33" w:rsidP="00BB7B33">
            <w:pPr>
              <w:spacing w:before="0"/>
              <w:ind w:left="-509" w:right="419"/>
              <w:jc w:val="center"/>
              <w:rPr>
                <w:rFonts w:ascii="Arial" w:hAnsi="Arial" w:cs="Arial"/>
                <w:color w:val="595959"/>
                <w:sz w:val="18"/>
                <w:szCs w:val="18"/>
              </w:rPr>
            </w:pPr>
            <w:r w:rsidRPr="00BB7B33">
              <w:rPr>
                <w:rFonts w:ascii="Arial" w:hAnsi="Arial" w:cs="Arial"/>
                <w:noProof/>
                <w:color w:val="595959"/>
                <w:sz w:val="18"/>
                <w:szCs w:val="18"/>
              </w:rPr>
              <w:drawing>
                <wp:anchor simplePos="0" relativeHeight="251658240" behindDoc="1" locked="0" layoutInCell="1" allowOverlap="1">
                  <wp:simplePos x="0" y="0"/>
                  <wp:positionH relativeFrom="page">
                    <wp:align>center</wp:align>
                  </wp:positionH>
                  <wp:positionV relativeFrom="paragraph">
                    <wp:posOffset>0</wp:posOffset>
                  </wp:positionV>
                  <wp:extent cx="1428949" cy="1428949"/>
                  <wp:wrapNone/>
                  <wp:docPr id="100014" name=""/>
                  <wp:cNvGraphicFramePr/>
                  <a:graphic xmlns:a="http://schemas.openxmlformats.org/drawingml/2006/main">
                    <a:graphicData uri="http://schemas.openxmlformats.org/drawingml/2006/picture">
                      <pic:pic xmlns:pic="http://schemas.openxmlformats.org/drawingml/2006/picture">
                        <pic:nvPicPr>
                          <pic:cNvPr id="100014" name=""/>
                          <pic:cNvPicPr/>
                        </pic:nvPicPr>
                        <pic:blipFill>
                          <a:blip xmlns:r="http://schemas.openxmlformats.org/officeDocument/2006/relationships" r:embed="rId8"/>
                          <a:stretch>
                            <a:fillRect/>
                          </a:stretch>
                        </pic:blipFill>
                        <pic:spPr>
                          <a:xfrm>
                            <a:off x="0" y="0"/>
                            <a:ext cx="1428949" cy="1428949"/>
                          </a:xfrm>
                          <a:prstGeom prst="rect">
                            <a:avLst/>
                          </a:prstGeom>
                        </pic:spPr>
                      </pic:pic>
                    </a:graphicData>
                  </a:graphic>
                </wp:anchor>
              </w:drawing>
            </w:r>
          </w:p>
        </w:tc>
        <w:tc>
          <w:tcPr>
            <w:tcW w:w="6229" w:type="dxa"/>
          </w:tcPr>
          <w:p w:rsidR="00BB7B33" w:rsidRPr="00BB7B33" w:rsidP="00BB7B33">
            <w:pPr>
              <w:spacing w:before="0"/>
              <w:ind w:right="419"/>
              <w:rPr>
                <w:rFonts w:ascii="Arial" w:hAnsi="Arial" w:cs="Arial"/>
                <w:color w:val="595959"/>
                <w:sz w:val="18"/>
                <w:szCs w:val="18"/>
              </w:rPr>
            </w:pPr>
            <w:r w:rsidRPr="00BB7B33">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2288540</wp:posOffset>
                      </wp:positionV>
                      <wp:extent cx="6915150" cy="3857625"/>
                      <wp:effectExtent l="0" t="0" r="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15150" cy="3857625"/>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02:19 PM by Douglas Lunt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02:19 PM by Douglas Lunt (Principal)</w:t>
                                        </w:r>
                                      </w:p>
                                    </w:tc>
                                  </w:tr>
                                </w:tbl>
                                <w:p w:rsidR="00BB7B33" w:rsidP="00BB7B33"/>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303.75pt;margin-left:-164.9pt;margin-top:180.2pt;mso-height-percent:0;mso-height-relative:margin;mso-position-horizontal-relative:margin;mso-width-percent:0;mso-width-relative:margin;mso-wrap-distance-bottom:0;mso-wrap-distance-left:9pt;mso-wrap-distance-right:9pt;mso-wrap-distance-top:0;position:absolute;width:544.5pt;z-index:251659264" filled="f" fillcolor="this" stroked="f">
                      <v:textbox>
                        <w:txbxContent>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BB7B33" w:rsidRPr="003E0246" w:rsidP="00BB7B33">
                                  <w:pPr>
                                    <w:numPr>
                                      <w:ilvl w:val="0"/>
                                      <w:numId w:val="21"/>
                                    </w:numPr>
                                    <w:spacing w:before="0"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BB7B33" w:rsidP="00BB7B33">
                                  <w:pPr>
                                    <w:numPr>
                                      <w:ilvl w:val="0"/>
                                      <w:numId w:val="21"/>
                                    </w:numPr>
                                    <w:spacing w:before="0"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BB7B33" w:rsidP="00BB7B33">
                                  <w:pPr>
                                    <w:numPr>
                                      <w:ilvl w:val="0"/>
                                      <w:numId w:val="21"/>
                                    </w:numPr>
                                    <w:spacing w:before="0"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BB7B33" w:rsidRPr="00642089" w:rsidP="000D139C">
                                  <w:pPr>
                                    <w:spacing w:before="240" w:after="0" w:line="240" w:lineRule="auto"/>
                                  </w:pPr>
                                  <w:r w:rsidRPr="00642089">
                                    <w:t>Attested on 03 April 2025 at 02:19 PM by Douglas Lunt (Principal)</w:t>
                                  </w:r>
                                </w:p>
                              </w:tc>
                            </w:tr>
                          </w:tbl>
                          <w:p w:rsidR="00BB7B33" w:rsidP="00BB7B33">
                            <w:pPr>
                              <w:spacing w:before="240" w:after="400" w:line="240" w:lineRule="auto"/>
                            </w:pPr>
                          </w:p>
                          <w:tbl>
                            <w:tblPr>
                              <w:tblStyle w:val="TableGrid1"/>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BB7B33" w:rsidP="00BB7B33">
                                  <w:pPr>
                                    <w:numPr>
                                      <w:ilvl w:val="0"/>
                                      <w:numId w:val="22"/>
                                    </w:numPr>
                                    <w:spacing w:before="0" w:after="0" w:line="240" w:lineRule="auto"/>
                                    <w:ind w:left="301"/>
                                    <w:rPr>
                                      <w:color w:val="333333"/>
                                      <w:sz w:val="16"/>
                                      <w:szCs w:val="16"/>
                                    </w:rPr>
                                  </w:pPr>
                                  <w:bookmarkStart w:id="0" w:name="OLE_LINK1"/>
                                  <w:r>
                                    <w:rPr>
                                      <w:noProof/>
                                      <w:szCs w:val="10"/>
                                    </w:rPr>
                                    <w:t>As executive officer of the school council, I attest that this 2024 Annual Report to the School Community has been tabled and endorsed at a meeting of the school council and will be publicly shared with the school community.</w:t>
                                  </w:r>
                                  <w:bookmarkEnd w:id="0"/>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BB7B33" w:rsidRPr="00642089" w:rsidP="000D139C">
                                  <w:pPr>
                                    <w:spacing w:before="240" w:after="0" w:line="240" w:lineRule="auto"/>
                                  </w:pPr>
                                  <w:r w:rsidRPr="00642089">
                                    <w:t>Attested on 03 April 2025 at 02:19 PM by Douglas Lunt (Principal)</w:t>
                                  </w:r>
                                </w:p>
                              </w:tc>
                            </w:tr>
                          </w:tbl>
                          <w:p w:rsidR="00BB7B33" w:rsidP="00BB7B33"/>
                        </w:txbxContent>
                      </v:textbox>
                      <w10:wrap anchorx="margin"/>
                    </v:shape>
                  </w:pict>
                </mc:Fallback>
              </mc:AlternateContent>
            </w:r>
          </w:p>
        </w:tc>
      </w:tr>
    </w:tbl>
    <w:p w:rsidR="00BB7B33" w:rsidRPr="00BB7B33" w:rsidP="00A56AED">
      <w:pPr>
        <w:pStyle w:val="Heading2"/>
        <w:rPr>
          <w:rFonts w:eastAsia="MS Mincho"/>
        </w:rPr>
      </w:pPr>
      <w:r w:rsidRPr="00BB7B33">
        <w:rPr>
          <w:rFonts w:eastAsia="MS Mincho"/>
          <w:noProof/>
        </w:rPr>
        <w:t xml:space="preserve">School Name: </w:t>
      </w:r>
      <w:r w:rsidRPr="00BB7B33">
        <w:rPr>
          <w:rFonts w:eastAsia="MS Mincho"/>
          <w:noProof/>
        </w:rPr>
        <w:t>Penders Grove Primary School (3806)</w:t>
      </w:r>
    </w:p>
    <w:p w:rsidR="00BB7B33" w:rsidRPr="00BB7B33" w:rsidP="00BB7B33">
      <w:pPr>
        <w:spacing w:before="0"/>
        <w:ind w:right="419"/>
        <w:rPr>
          <w:rFonts w:ascii="Arial" w:eastAsia="MS Mincho" w:hAnsi="Arial" w:cs="Arial"/>
          <w:color w:val="FFFFFF"/>
          <w:sz w:val="36"/>
          <w:szCs w:val="36"/>
        </w:rPr>
      </w:pPr>
    </w:p>
    <w:p w:rsidR="00BB7B33" w:rsidRPr="00BB7B33" w:rsidP="00BB7B33">
      <w:pPr>
        <w:spacing w:before="0"/>
        <w:ind w:left="540" w:right="419"/>
        <w:rPr>
          <w:rFonts w:ascii="Arial" w:eastAsia="MS Mincho" w:hAnsi="Arial" w:cs="Arial"/>
          <w:color w:val="595959"/>
          <w:sz w:val="18"/>
          <w:szCs w:val="18"/>
        </w:rPr>
      </w:pPr>
    </w:p>
    <w:p w:rsidR="00BB7B33" w:rsidP="00BB7B33">
      <w:pPr>
        <w:keepNext/>
        <w:keepLines/>
        <w:spacing w:before="240"/>
        <w:jc w:val="center"/>
        <w:outlineLvl w:val="0"/>
        <w:rPr>
          <w:rFonts w:ascii="Arial" w:eastAsia="MS Mincho" w:hAnsi="Arial" w:cs="Arial"/>
          <w:color w:val="595959"/>
          <w:sz w:val="18"/>
          <w:szCs w:val="18"/>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RPr="006364DC" w:rsidP="006364DC">
      <w:pPr>
        <w:rPr>
          <w:rFonts w:ascii="Arial" w:eastAsia="MS Gothic" w:hAnsi="Arial" w:cs="Times New Roman"/>
        </w:rPr>
      </w:pPr>
    </w:p>
    <w:p w:rsidR="006364DC" w:rsidP="006364DC">
      <w:pPr>
        <w:tabs>
          <w:tab w:val="left" w:pos="6705"/>
        </w:tabs>
        <w:rPr>
          <w:rFonts w:ascii="Arial" w:eastAsia="MS Mincho" w:hAnsi="Arial" w:cs="Arial"/>
          <w:color w:val="595959"/>
          <w:sz w:val="18"/>
          <w:szCs w:val="18"/>
        </w:rPr>
      </w:pPr>
      <w:r>
        <w:rPr>
          <w:rFonts w:ascii="Arial" w:eastAsia="MS Mincho" w:hAnsi="Arial" w:cs="Arial"/>
          <w:color w:val="595959"/>
          <w:sz w:val="18"/>
          <w:szCs w:val="18"/>
        </w:rPr>
        <w:tab/>
      </w:r>
    </w:p>
    <w:p w:rsidR="006364DC" w:rsidRPr="006364DC" w:rsidP="006364DC">
      <w:pPr>
        <w:tabs>
          <w:tab w:val="left" w:pos="6705"/>
        </w:tabs>
        <w:rPr>
          <w:rFonts w:ascii="Arial" w:eastAsia="MS Gothic" w:hAnsi="Arial" w:cs="Times New Roman"/>
        </w:rPr>
        <w:sectPr w:rsidSect="00CB36E6">
          <w:headerReference w:type="even" r:id="rId9"/>
          <w:headerReference w:type="default" r:id="rId10"/>
          <w:footerReference w:type="even" r:id="rId11"/>
          <w:footerReference w:type="default" r:id="rId12"/>
          <w:headerReference w:type="first" r:id="rId13"/>
          <w:footerReference w:type="first" r:id="rId14"/>
          <w:pgSz w:w="11906" w:h="16838" w:code="9"/>
          <w:pgMar w:top="2914" w:right="567" w:bottom="1701" w:left="567" w:header="0" w:footer="0" w:gutter="0"/>
          <w:cols w:space="397"/>
          <w:docGrid w:linePitch="360"/>
        </w:sectPr>
      </w:pPr>
    </w:p>
    <w:p w:rsidR="00FF3F86" w:rsidRPr="00BC45B8" w:rsidP="00FF3F86">
      <w:pPr>
        <w:pStyle w:val="Heading10"/>
        <w:spacing w:before="360" w:after="120"/>
        <w:rPr>
          <w:rFonts w:cs="Arial"/>
          <w:color w:val="D40032"/>
          <w:sz w:val="44"/>
          <w:szCs w:val="44"/>
        </w:rPr>
      </w:pPr>
      <w:r w:rsidRPr="00BC45B8">
        <w:rPr>
          <w:rFonts w:cs="Arial"/>
          <w:color w:val="D40032"/>
          <w:sz w:val="44"/>
          <w:szCs w:val="44"/>
        </w:rPr>
        <w:t>How to read the Annual Report</w:t>
      </w:r>
    </w:p>
    <w:p w:rsidR="00FF3F86" w:rsidRPr="00DE50B0" w:rsidP="00FF3F86">
      <w:pPr>
        <w:pStyle w:val="Style10"/>
        <w:spacing w:before="0" w:after="120"/>
        <w:rPr>
          <w:rFonts w:cs="Arial"/>
          <w:color w:val="D40032"/>
          <w:sz w:val="28"/>
          <w:szCs w:val="28"/>
        </w:rPr>
      </w:pPr>
      <w:r w:rsidRPr="00DE50B0">
        <w:rPr>
          <w:rFonts w:cs="Arial"/>
          <w:color w:val="D40032"/>
          <w:sz w:val="28"/>
          <w:szCs w:val="28"/>
        </w:rPr>
        <w:t xml:space="preserve">What does the </w:t>
      </w:r>
      <w:r w:rsidRPr="00DE50B0">
        <w:rPr>
          <w:rFonts w:cs="Arial"/>
          <w:i/>
          <w:iCs/>
          <w:color w:val="D40032"/>
          <w:sz w:val="28"/>
          <w:szCs w:val="28"/>
        </w:rPr>
        <w:t>‘</w:t>
      </w:r>
      <w:r w:rsidRPr="00DE50B0">
        <w:rPr>
          <w:rFonts w:cs="Arial"/>
          <w:i/>
          <w:color w:val="D40032"/>
          <w:sz w:val="28"/>
          <w:szCs w:val="28"/>
        </w:rPr>
        <w:t>About Our School’</w:t>
      </w:r>
      <w:r w:rsidRPr="00DE50B0">
        <w:rPr>
          <w:rFonts w:cs="Arial"/>
          <w:color w:val="D40032"/>
          <w:sz w:val="28"/>
          <w:szCs w:val="28"/>
        </w:rPr>
        <w:t xml:space="preserve"> commentary section of this report refer to?</w:t>
      </w:r>
    </w:p>
    <w:p w:rsidR="000D1CDD" w:rsidRPr="00DE50B0" w:rsidP="000D1CDD">
      <w:pPr>
        <w:pStyle w:val="ESBodyText"/>
        <w:spacing w:line="240" w:lineRule="auto"/>
        <w:rPr>
          <w:lang w:val="en-AU"/>
        </w:rPr>
      </w:pPr>
      <w:r w:rsidRPr="00DE50B0">
        <w:rPr>
          <w:lang w:val="en-AU"/>
        </w:rPr>
        <w:t xml:space="preserve">The ‘About our school’ commentary provides a brief background on the school and an overview of the school’s performance over the previous calendar year. </w:t>
      </w:r>
    </w:p>
    <w:p w:rsidR="000D1CDD" w:rsidRPr="00DE50B0" w:rsidP="000D1CDD">
      <w:pPr>
        <w:pStyle w:val="ESBodyText"/>
        <w:spacing w:line="240" w:lineRule="auto"/>
        <w:rPr>
          <w:lang w:val="en-AU"/>
        </w:rPr>
      </w:pPr>
      <w:r w:rsidRPr="00DE50B0">
        <w:rPr>
          <w:lang w:val="en-AU"/>
        </w:rPr>
        <w:t>The ‘School Context’ describes the school’s vision, values, and purpose. Details include the school’s geographic location, size and structure, social characteristics, enrolment characteristics, and special programs.</w:t>
      </w:r>
    </w:p>
    <w:p w:rsidR="000D1CDD" w:rsidRPr="00DE50B0" w:rsidP="000D1CDD">
      <w:pPr>
        <w:pStyle w:val="ESBodyText"/>
        <w:spacing w:after="200" w:line="240" w:lineRule="auto"/>
      </w:pPr>
      <w:r w:rsidRPr="00DE50B0">
        <w:t xml:space="preserve">The ‘Progress towards strategic goals, student outcomes, and student engagement’ section </w:t>
      </w:r>
      <w:r w:rsidRPr="00DE50B0">
        <w:rPr>
          <w:rFonts w:eastAsia="Times New Roman"/>
        </w:rPr>
        <w:t>allows schools to reflect on highlights related to implementation of and progress towards the School Strategic Plan and Annual Implementation Plan, and efforts to improve student learning, wellbeing, and engagement.</w:t>
      </w:r>
    </w:p>
    <w:p w:rsidR="00737A25" w:rsidRPr="00DE50B0" w:rsidP="00737A25">
      <w:pPr>
        <w:pStyle w:val="Style10"/>
        <w:spacing w:before="0" w:after="120"/>
        <w:rPr>
          <w:rFonts w:cs="Arial"/>
          <w:i/>
          <w:color w:val="D40032"/>
        </w:rPr>
      </w:pPr>
      <w:r w:rsidRPr="00DE50B0">
        <w:rPr>
          <w:rFonts w:cs="Arial"/>
          <w:color w:val="D40032"/>
        </w:rPr>
        <w:t xml:space="preserve">What does the </w:t>
      </w:r>
      <w:r w:rsidRPr="00DE50B0">
        <w:rPr>
          <w:rFonts w:cs="Arial"/>
          <w:i/>
          <w:color w:val="D40032"/>
        </w:rPr>
        <w:t>‘Performance Summary’</w:t>
      </w:r>
      <w:r w:rsidRPr="00DE50B0">
        <w:rPr>
          <w:rFonts w:cs="Arial"/>
          <w:color w:val="D40032"/>
        </w:rPr>
        <w:t xml:space="preserve"> section of this report refer to?</w:t>
      </w:r>
    </w:p>
    <w:p w:rsidR="00737A25" w:rsidRPr="00DE50B0" w:rsidP="00737A25">
      <w:pPr>
        <w:pStyle w:val="Normal0"/>
        <w:spacing w:line="240" w:lineRule="auto"/>
        <w:rPr>
          <w:rFonts w:eastAsia="Arial"/>
          <w:color w:val="000000"/>
          <w:szCs w:val="20"/>
        </w:rPr>
      </w:pPr>
      <w:r w:rsidRPr="00DE50B0">
        <w:rPr>
          <w:rFonts w:eastAsia="Arial"/>
          <w:color w:val="000000"/>
          <w:szCs w:val="20"/>
        </w:rPr>
        <w:t>The Performance Summary includes the following: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School Profile</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student enrolment information</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the school’s ‘Student Family Occupation and Education’ category</w:t>
      </w:r>
    </w:p>
    <w:p w:rsidR="00737A25" w:rsidRPr="00DE50B0" w:rsidP="00737A25">
      <w:pPr>
        <w:pStyle w:val="Normal0"/>
        <w:numPr>
          <w:ilvl w:val="0"/>
          <w:numId w:val="27"/>
        </w:numPr>
        <w:spacing w:line="240" w:lineRule="auto"/>
        <w:ind w:left="1440"/>
        <w:rPr>
          <w:rFonts w:eastAsia="Arial"/>
          <w:bCs/>
          <w:color w:val="000000"/>
          <w:szCs w:val="20"/>
        </w:rPr>
      </w:pPr>
      <w:r w:rsidRPr="00DE50B0">
        <w:rPr>
          <w:rFonts w:eastAsia="Arial"/>
          <w:bCs/>
          <w:color w:val="000000"/>
          <w:szCs w:val="20"/>
        </w:rPr>
        <w:t xml:space="preserve">a </w:t>
      </w:r>
      <w:r w:rsidRPr="00DE50B0">
        <w:rPr>
          <w:rFonts w:eastAsia="Arial"/>
          <w:color w:val="000000"/>
          <w:szCs w:val="20"/>
        </w:rPr>
        <w:t>summary</w:t>
      </w:r>
      <w:r w:rsidRPr="00DE50B0">
        <w:rPr>
          <w:rFonts w:eastAsia="Arial"/>
          <w:bCs/>
          <w:color w:val="000000"/>
          <w:szCs w:val="20"/>
        </w:rPr>
        <w:t xml:space="preserve"> of parent responses in the Parent Opinion Survey, shown against the statewide average for Primary schools</w:t>
      </w:r>
    </w:p>
    <w:p w:rsidR="00737A25" w:rsidRPr="00DE50B0" w:rsidP="00737A25">
      <w:pPr>
        <w:pStyle w:val="ListParagraph"/>
        <w:numPr>
          <w:ilvl w:val="0"/>
          <w:numId w:val="28"/>
        </w:numPr>
        <w:spacing w:after="200" w:line="240" w:lineRule="auto"/>
        <w:ind w:left="1434" w:hanging="357"/>
        <w:rPr>
          <w:rFonts w:eastAsia="Arial"/>
          <w:b/>
          <w:color w:val="000000"/>
          <w:szCs w:val="20"/>
        </w:rPr>
      </w:pPr>
      <w:r w:rsidRPr="00DE50B0">
        <w:rPr>
          <w:rFonts w:eastAsia="Arial"/>
          <w:bCs/>
          <w:color w:val="000000"/>
          <w:szCs w:val="20"/>
        </w:rPr>
        <w:t xml:space="preserve">school staff responses </w:t>
      </w:r>
      <w:r w:rsidRPr="00DE50B0">
        <w:rPr>
          <w:rFonts w:eastAsia="Arial"/>
          <w:bCs/>
          <w:color w:val="000000"/>
          <w:szCs w:val="20"/>
        </w:rPr>
        <w:t>in the area of</w:t>
      </w:r>
      <w:r w:rsidRPr="00DE50B0">
        <w:rPr>
          <w:rFonts w:eastAsia="Arial"/>
          <w:bCs/>
          <w:color w:val="000000"/>
          <w:szCs w:val="20"/>
        </w:rPr>
        <w:t xml:space="preserve"> School Climate in the School Staff Survey, shown against the statewide average for Primary schools</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Learning</w:t>
      </w:r>
    </w:p>
    <w:p w:rsidR="00737A25" w:rsidRPr="00DE50B0" w:rsidP="00737A25">
      <w:pPr>
        <w:pStyle w:val="Normal0"/>
        <w:numPr>
          <w:ilvl w:val="0"/>
          <w:numId w:val="27"/>
        </w:numPr>
        <w:spacing w:line="240" w:lineRule="auto"/>
        <w:ind w:left="1440"/>
        <w:rPr>
          <w:rFonts w:eastAsia="Arial"/>
          <w:color w:val="000000"/>
          <w:szCs w:val="20"/>
        </w:rPr>
      </w:pPr>
      <w:r w:rsidRPr="00DE50B0">
        <w:rPr>
          <w:rFonts w:eastAsia="Arial"/>
          <w:color w:val="000000"/>
          <w:szCs w:val="20"/>
        </w:rPr>
        <w:t>English and Mathematics for Teacher Judgements against the curriculum</w:t>
      </w:r>
    </w:p>
    <w:p w:rsidR="00737A25" w:rsidRPr="00DE50B0" w:rsidP="00737A25">
      <w:pPr>
        <w:pStyle w:val="ListParagraph"/>
        <w:numPr>
          <w:ilvl w:val="0"/>
          <w:numId w:val="28"/>
        </w:numPr>
        <w:spacing w:after="200" w:line="240" w:lineRule="auto"/>
        <w:ind w:left="1434" w:hanging="357"/>
        <w:rPr>
          <w:rFonts w:eastAsia="Arial"/>
          <w:color w:val="000000"/>
          <w:szCs w:val="20"/>
        </w:rPr>
      </w:pPr>
      <w:r w:rsidRPr="00DE50B0">
        <w:rPr>
          <w:rFonts w:eastAsia="Arial"/>
          <w:color w:val="000000"/>
          <w:szCs w:val="20"/>
        </w:rPr>
        <w:t xml:space="preserve">English </w:t>
      </w:r>
      <w:r w:rsidRPr="00DE50B0">
        <w:rPr>
          <w:rFonts w:eastAsia="Arial"/>
          <w:bCs/>
          <w:color w:val="000000"/>
          <w:szCs w:val="20"/>
        </w:rPr>
        <w:t>and</w:t>
      </w:r>
      <w:r w:rsidRPr="00DE50B0">
        <w:rPr>
          <w:rFonts w:eastAsia="Arial"/>
          <w:color w:val="000000"/>
          <w:szCs w:val="20"/>
        </w:rPr>
        <w:t xml:space="preserve"> Mathematics for National Literacy and Numeracy tests (NAPLAN).</w:t>
      </w:r>
    </w:p>
    <w:p w:rsidR="006A2495" w:rsidRPr="00DE50B0" w:rsidP="006A2495">
      <w:pPr>
        <w:pStyle w:val="Normal0"/>
        <w:spacing w:line="240" w:lineRule="auto"/>
        <w:ind w:left="720"/>
        <w:rPr>
          <w:rFonts w:eastAsia="Arial"/>
          <w:b/>
          <w:color w:val="1F1646"/>
          <w:szCs w:val="20"/>
        </w:rPr>
      </w:pPr>
      <w:r w:rsidRPr="00DE50B0">
        <w:rPr>
          <w:rFonts w:eastAsia="Arial"/>
          <w:b/>
          <w:color w:val="1F1646"/>
          <w:szCs w:val="20"/>
        </w:rPr>
        <w:t>Wellbeing</w:t>
      </w:r>
    </w:p>
    <w:p w:rsidR="006A2495" w:rsidRPr="00DE50B0" w:rsidP="006A2495">
      <w:pPr>
        <w:pStyle w:val="Normal0"/>
        <w:spacing w:line="240" w:lineRule="auto"/>
        <w:ind w:left="720"/>
        <w:rPr>
          <w:rFonts w:eastAsia="Arial"/>
          <w:color w:val="000000"/>
          <w:szCs w:val="20"/>
        </w:rPr>
      </w:pPr>
      <w:r w:rsidRPr="00DE50B0">
        <w:rPr>
          <w:rFonts w:eastAsia="Arial"/>
          <w:color w:val="000000"/>
          <w:szCs w:val="20"/>
        </w:rPr>
        <w:t>Student responses to two areas in the Student Attitudes to School Survey:</w:t>
      </w:r>
    </w:p>
    <w:p w:rsidR="006A2495" w:rsidRPr="00DE50B0" w:rsidP="006A2495">
      <w:pPr>
        <w:pStyle w:val="Normal0"/>
        <w:numPr>
          <w:ilvl w:val="0"/>
          <w:numId w:val="27"/>
        </w:numPr>
        <w:spacing w:line="240" w:lineRule="auto"/>
        <w:ind w:left="1440"/>
        <w:rPr>
          <w:rFonts w:eastAsia="Arial"/>
          <w:color w:val="000000"/>
          <w:szCs w:val="20"/>
        </w:rPr>
      </w:pPr>
      <w:r w:rsidRPr="00DE50B0">
        <w:rPr>
          <w:rFonts w:eastAsia="Arial"/>
          <w:color w:val="000000"/>
          <w:szCs w:val="20"/>
        </w:rPr>
        <w:t>Sense of Connectedness</w:t>
      </w:r>
    </w:p>
    <w:p w:rsidR="006A2495" w:rsidRPr="00DE50B0" w:rsidP="006A2495">
      <w:pPr>
        <w:pStyle w:val="Normal0"/>
        <w:numPr>
          <w:ilvl w:val="0"/>
          <w:numId w:val="27"/>
        </w:numPr>
        <w:spacing w:line="240" w:lineRule="auto"/>
        <w:ind w:left="1440"/>
        <w:rPr>
          <w:rFonts w:eastAsia="Arial"/>
          <w:color w:val="000000"/>
          <w:szCs w:val="20"/>
        </w:rPr>
      </w:pPr>
      <w:r w:rsidRPr="00DE50B0">
        <w:rPr>
          <w:rFonts w:eastAsia="Arial"/>
          <w:color w:val="000000"/>
          <w:szCs w:val="20"/>
        </w:rPr>
        <w:t>Management of Bullying</w:t>
      </w:r>
    </w:p>
    <w:p w:rsidR="00737A25" w:rsidRPr="00DE50B0" w:rsidP="00737A25">
      <w:pPr>
        <w:pStyle w:val="Normal0"/>
        <w:spacing w:line="240" w:lineRule="auto"/>
        <w:ind w:left="720"/>
        <w:rPr>
          <w:rFonts w:eastAsia="Arial"/>
          <w:b/>
          <w:color w:val="1F1646"/>
          <w:szCs w:val="20"/>
        </w:rPr>
      </w:pPr>
      <w:r w:rsidRPr="00DE50B0">
        <w:rPr>
          <w:rFonts w:eastAsia="Arial"/>
          <w:b/>
          <w:color w:val="1F1646"/>
          <w:szCs w:val="20"/>
        </w:rPr>
        <w:t xml:space="preserve">Engagement </w:t>
      </w:r>
    </w:p>
    <w:p w:rsidR="00737A25" w:rsidRPr="00DE50B0" w:rsidP="00FE45D1">
      <w:pPr>
        <w:pStyle w:val="ListParagraph"/>
        <w:numPr>
          <w:ilvl w:val="0"/>
          <w:numId w:val="29"/>
        </w:numPr>
        <w:spacing w:after="200" w:line="240" w:lineRule="auto"/>
        <w:rPr>
          <w:rFonts w:eastAsia="Arial"/>
          <w:color w:val="000000"/>
          <w:szCs w:val="20"/>
        </w:rPr>
      </w:pPr>
      <w:r w:rsidRPr="00DE50B0">
        <w:rPr>
          <w:rFonts w:eastAsia="Arial"/>
          <w:color w:val="000000"/>
          <w:szCs w:val="20"/>
        </w:rPr>
        <w:t>Student attendance at school</w:t>
      </w:r>
    </w:p>
    <w:p w:rsidR="00C3126C" w:rsidRPr="00DE50B0" w:rsidP="00C3126C">
      <w:pPr>
        <w:pStyle w:val="ESBodyText"/>
        <w:spacing w:after="200" w:line="240" w:lineRule="auto"/>
      </w:pPr>
      <w:r w:rsidRPr="00DE50B0">
        <w:t xml:space="preserve">Results are displayed for the latest year and the average of the last four years (where available). </w:t>
      </w:r>
    </w:p>
    <w:p w:rsidR="008A558E" w:rsidRPr="00DE50B0" w:rsidP="008A558E">
      <w:pPr>
        <w:pStyle w:val="ESBodyText"/>
        <w:spacing w:line="240" w:lineRule="auto"/>
      </w:pPr>
      <w:r w:rsidRPr="00DE50B0">
        <w:t xml:space="preserve">Key terms used in the Performance Summary are defined below: </w:t>
      </w:r>
    </w:p>
    <w:p w:rsidR="008A558E" w:rsidRPr="00DE50B0" w:rsidP="008A558E">
      <w:pPr>
        <w:pStyle w:val="ESBodyText"/>
        <w:spacing w:line="240" w:lineRule="auto"/>
        <w:rPr>
          <w:b/>
          <w:bCs/>
          <w:color w:val="1F1646"/>
        </w:rPr>
      </w:pPr>
      <w:r w:rsidRPr="00DE50B0">
        <w:rPr>
          <w:b/>
          <w:bCs/>
          <w:color w:val="1F1646"/>
        </w:rPr>
        <w:t>Similar Schools</w:t>
      </w:r>
    </w:p>
    <w:p w:rsidR="008A558E" w:rsidRPr="00DE50B0" w:rsidP="008A558E">
      <w:pPr>
        <w:pStyle w:val="Normal0"/>
        <w:spacing w:line="240" w:lineRule="auto"/>
        <w:rPr>
          <w:rFonts w:eastAsia="Arial"/>
          <w:color w:val="000000"/>
        </w:rPr>
      </w:pPr>
      <w:r w:rsidRPr="00DE50B0">
        <w:rPr>
          <w:rFonts w:eastAsia="Arial"/>
          <w:color w:val="000000"/>
        </w:rPr>
        <w:t xml:space="preserve">Similar Schools are a </w:t>
      </w:r>
      <w:r w:rsidRPr="00DE50B0">
        <w:rPr>
          <w:rFonts w:eastAsia="Arial"/>
          <w:color w:val="000000"/>
          <w:szCs w:val="20"/>
        </w:rPr>
        <w:t>group</w:t>
      </w:r>
      <w:r w:rsidRPr="00DE50B0">
        <w:rPr>
          <w:rFonts w:eastAsia="Arial"/>
          <w:color w:val="000000"/>
        </w:rPr>
        <w:t xml:space="preserve"> of Victorian government schools with similar characteristics to the school.</w:t>
      </w:r>
    </w:p>
    <w:p w:rsidR="008A558E" w:rsidRPr="00DE50B0" w:rsidP="008A558E">
      <w:pPr>
        <w:pStyle w:val="Body20"/>
        <w:spacing w:after="240" w:line="240" w:lineRule="auto"/>
        <w:rPr>
          <w:rFonts w:eastAsia="Arial"/>
          <w:color w:val="000000"/>
        </w:rPr>
      </w:pPr>
      <w:r w:rsidRPr="00DE50B0">
        <w:rPr>
          <w:rFonts w:eastAsia="Arial"/>
          <w:color w:val="000000"/>
        </w:rPr>
        <w:t>This grouping of schools has been created by comparing each school’s socio-economic background of students, the number of non-English speaking students and the school’s size and location.</w:t>
      </w:r>
    </w:p>
    <w:p w:rsidR="008A558E" w:rsidRPr="00DE50B0" w:rsidP="008A558E">
      <w:pPr>
        <w:pStyle w:val="Body20"/>
        <w:spacing w:after="240" w:line="240" w:lineRule="auto"/>
        <w:rPr>
          <w:rFonts w:eastAsia="Arial"/>
          <w:b/>
          <w:bCs/>
          <w:color w:val="1F1646"/>
        </w:rPr>
      </w:pPr>
      <w:r w:rsidRPr="00DE50B0">
        <w:rPr>
          <w:rFonts w:eastAsia="Arial"/>
          <w:b/>
          <w:bCs/>
          <w:color w:val="1F1646"/>
        </w:rPr>
        <w:t>NDP and NDA</w:t>
      </w:r>
    </w:p>
    <w:p w:rsidR="008A558E" w:rsidRPr="00DE50B0" w:rsidP="008A558E">
      <w:pPr>
        <w:pStyle w:val="Normal0"/>
        <w:spacing w:line="240" w:lineRule="auto"/>
        <w:rPr>
          <w:rFonts w:eastAsia="Arial"/>
          <w:color w:val="000000"/>
          <w:szCs w:val="20"/>
        </w:rPr>
      </w:pPr>
      <w:r w:rsidRPr="00DE50B0">
        <w:rPr>
          <w:rFonts w:eastAsia="Arial"/>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DE50B0" w:rsidP="008A558E">
      <w:pPr>
        <w:pStyle w:val="Normal0"/>
        <w:spacing w:line="240" w:lineRule="auto"/>
        <w:rPr>
          <w:rFonts w:eastAsia="Arial"/>
          <w:color w:val="000000"/>
          <w:szCs w:val="20"/>
        </w:rPr>
      </w:pPr>
      <w:r w:rsidRPr="00DE50B0">
        <w:rPr>
          <w:rFonts w:eastAsia="Arial"/>
          <w:color w:val="000000"/>
          <w:szCs w:val="20"/>
        </w:rPr>
        <w:t xml:space="preserve">‘NDA’ refers to no data being available. Some schools have no data for </w:t>
      </w:r>
      <w:r w:rsidRPr="00DE50B0">
        <w:rPr>
          <w:rFonts w:eastAsia="Arial"/>
          <w:color w:val="000000"/>
          <w:szCs w:val="20"/>
        </w:rPr>
        <w:t>particular measures</w:t>
      </w:r>
      <w:r w:rsidRPr="00DE50B0">
        <w:rPr>
          <w:rFonts w:eastAsia="Arial"/>
          <w:color w:val="000000"/>
          <w:szCs w:val="20"/>
        </w:rPr>
        <w:t xml:space="preserve"> due to low enrolments. There may be no students enrolled in some year levels, so school comparisons are not possible.</w:t>
      </w:r>
    </w:p>
    <w:p w:rsidR="00F52ED0" w:rsidP="00F52ED0">
      <w:pPr>
        <w:pStyle w:val="Body20"/>
        <w:spacing w:after="240" w:line="240" w:lineRule="auto"/>
      </w:pPr>
      <w:r w:rsidRPr="00DE50B0">
        <w:rPr>
          <w:rFonts w:eastAsia="Arial"/>
          <w:color w:val="000000"/>
          <w:szCs w:val="20"/>
        </w:rPr>
        <w:t>Note that new schools only have the latest year of data and no comparative data from previous years. T</w:t>
      </w:r>
      <w:r w:rsidRPr="00DE50B0">
        <w:t xml:space="preserve">he department also </w:t>
      </w:r>
      <w:r w:rsidRPr="00DE50B0">
        <w:t>recognises</w:t>
      </w:r>
      <w:r w:rsidRPr="00DE50B0">
        <w:t xml:space="preserve"> unique circumstances in Specialist, Select Entry, English Language, Community Schools and schools that changed school type recently, where school-to-school comparisons are not appropriate.</w:t>
      </w:r>
    </w:p>
    <w:p w:rsidR="00F52ED0">
      <w:pPr>
        <w:pStyle w:val="Normal0"/>
        <w:spacing w:after="0" w:line="240" w:lineRule="auto"/>
        <w:rPr>
          <w:rFonts w:eastAsia="Arial"/>
          <w:b/>
          <w:bCs/>
          <w:color w:val="1F1646"/>
        </w:rPr>
      </w:pPr>
      <w:r>
        <w:rPr>
          <w:rFonts w:eastAsia="Arial"/>
          <w:b/>
          <w:bCs/>
          <w:color w:val="1F1646"/>
        </w:rPr>
        <w:br w:type="page"/>
      </w:r>
    </w:p>
    <w:p w:rsidR="008A558E" w:rsidRPr="00DE50B0" w:rsidP="008A558E">
      <w:pPr>
        <w:pStyle w:val="Normal0"/>
        <w:spacing w:line="240" w:lineRule="auto"/>
        <w:rPr>
          <w:rFonts w:eastAsia="Arial"/>
          <w:b/>
          <w:bCs/>
          <w:color w:val="1F1646"/>
        </w:rPr>
      </w:pPr>
      <w:r w:rsidRPr="00DE50B0">
        <w:rPr>
          <w:rFonts w:eastAsia="Arial"/>
          <w:b/>
          <w:bCs/>
          <w:color w:val="1F1646"/>
        </w:rPr>
        <w:t>The Victorian Curriculum</w:t>
      </w:r>
    </w:p>
    <w:p w:rsidR="008A558E" w:rsidRPr="00DE50B0" w:rsidP="008A558E">
      <w:pPr>
        <w:pStyle w:val="Normal0"/>
        <w:spacing w:line="240" w:lineRule="auto"/>
        <w:rPr>
          <w:rFonts w:eastAsia="Arial"/>
          <w:color w:val="000000"/>
        </w:rPr>
      </w:pPr>
      <w:r w:rsidRPr="00DE50B0">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DE50B0" w:rsidP="008A558E">
      <w:pPr>
        <w:pStyle w:val="Normal0"/>
        <w:spacing w:line="240" w:lineRule="auto"/>
        <w:rPr>
          <w:rFonts w:eastAsia="Arial"/>
          <w:color w:val="000000"/>
        </w:rPr>
      </w:pPr>
      <w:r w:rsidRPr="00DE50B0">
        <w:rPr>
          <w:rFonts w:eastAsia="Arial"/>
          <w:color w:val="000000"/>
        </w:rPr>
        <w:t>The Victorian Curriculum is assessed through teacher judgements of student achievement based on classroom learning.</w:t>
      </w:r>
    </w:p>
    <w:p w:rsidR="008A558E" w:rsidRPr="00DE50B0" w:rsidP="008A558E">
      <w:pPr>
        <w:pStyle w:val="Normal0"/>
        <w:spacing w:line="240" w:lineRule="auto"/>
      </w:pPr>
      <w:r w:rsidRPr="00DE50B0">
        <w:rPr>
          <w:rFonts w:eastAsia="Arial"/>
          <w:color w:val="000000"/>
        </w:rPr>
        <w:t>The curriculum has been developed to ensure that school subjects and their achievement standards enable continuous learning for all students, including students with disabilities.</w:t>
      </w:r>
    </w:p>
    <w:p w:rsidR="008A558E" w:rsidRPr="00DE50B0" w:rsidP="008A558E">
      <w:pPr>
        <w:pStyle w:val="Normal0"/>
        <w:spacing w:line="240" w:lineRule="auto"/>
        <w:rPr>
          <w:rFonts w:eastAsia="Arial"/>
          <w:color w:val="000000"/>
        </w:rPr>
      </w:pPr>
      <w:r w:rsidRPr="00DE50B0">
        <w:rPr>
          <w:rFonts w:eastAsia="Arial"/>
          <w:color w:val="000000"/>
        </w:rPr>
        <w:t>The ‘Towards Foundation Level Victorian Curriculum’ is integrated directly into the curriculum and is referred to as ‘Levels A to D’.</w:t>
      </w:r>
    </w:p>
    <w:p w:rsidR="008A558E" w:rsidRPr="00DE50B0" w:rsidP="008A558E">
      <w:pPr>
        <w:pStyle w:val="Normal0"/>
        <w:spacing w:line="240" w:lineRule="auto"/>
        <w:rPr>
          <w:rFonts w:eastAsia="Arial"/>
          <w:color w:val="000000"/>
        </w:rPr>
      </w:pPr>
      <w:r w:rsidRPr="00DE50B0">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AD2752" w:rsidRPr="00DE50B0" w:rsidP="00AD2752">
      <w:pPr>
        <w:pStyle w:val="Style10"/>
        <w:spacing w:before="0" w:after="120"/>
        <w:rPr>
          <w:rFonts w:cs="Arial"/>
          <w:color w:val="D40032"/>
        </w:rPr>
      </w:pPr>
      <w:r w:rsidRPr="00DE50B0">
        <w:rPr>
          <w:rFonts w:cs="Arial"/>
          <w:color w:val="D40032"/>
        </w:rPr>
        <w:t>Updates to the ‘</w:t>
      </w:r>
      <w:r w:rsidRPr="00DE50B0">
        <w:rPr>
          <w:rFonts w:cs="Arial"/>
          <w:i/>
          <w:iCs/>
          <w:color w:val="D40032"/>
        </w:rPr>
        <w:t>Performance Summary’</w:t>
      </w:r>
      <w:r w:rsidRPr="00DE50B0">
        <w:rPr>
          <w:rFonts w:cs="Arial"/>
          <w:color w:val="D40032"/>
        </w:rPr>
        <w:t xml:space="preserve"> in the 2024 Annual Report</w:t>
      </w:r>
    </w:p>
    <w:p w:rsidR="00AD2752" w:rsidRPr="00DE50B0" w:rsidP="00AD2752">
      <w:pPr>
        <w:pStyle w:val="ESBodyText"/>
        <w:spacing w:line="240" w:lineRule="auto"/>
      </w:pPr>
      <w:bookmarkStart w:id="1" w:name="_Hlk181974971"/>
      <w:r w:rsidRPr="00DE50B0">
        <w:t xml:space="preserve">Reporting on the following measures has been updated in the 2024 Annual Report to align with changes to departmental and public reporting products. </w:t>
      </w:r>
    </w:p>
    <w:p w:rsidR="009D25CB" w:rsidRPr="000251D3" w:rsidP="009D25CB">
      <w:pPr>
        <w:pStyle w:val="Normal0"/>
        <w:spacing w:line="240" w:lineRule="auto"/>
        <w:rPr>
          <w:rFonts w:eastAsia="Arial"/>
          <w:b/>
          <w:bCs/>
          <w:color w:val="1F1646"/>
        </w:rPr>
      </w:pPr>
      <w:bookmarkEnd w:id="1"/>
      <w:r w:rsidRPr="000251D3">
        <w:rPr>
          <w:rFonts w:eastAsia="Arial"/>
          <w:b/>
          <w:bCs/>
          <w:color w:val="1F1646"/>
        </w:rPr>
        <w:t>NAPLAN</w:t>
      </w:r>
    </w:p>
    <w:p w:rsidR="009D25CB" w:rsidRPr="000251D3" w:rsidP="009D25CB">
      <w:pPr>
        <w:pStyle w:val="Normal0"/>
        <w:spacing w:line="240" w:lineRule="auto"/>
        <w:rPr>
          <w:lang w:val="en-AU"/>
        </w:rPr>
      </w:pPr>
      <w:r w:rsidRPr="000251D3">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\t "_blank" </w:instrText>
      </w:r>
      <w:r>
        <w:fldChar w:fldCharType="separate"/>
      </w:r>
      <w:r w:rsidRPr="000251D3">
        <w:rPr>
          <w:rStyle w:val="Hyperlink0"/>
        </w:rPr>
        <w:t>Results and Reports</w:t>
      </w:r>
      <w:r>
        <w:fldChar w:fldCharType="end"/>
      </w:r>
      <w:r w:rsidRPr="000251D3">
        <w:t>’ page. </w:t>
      </w:r>
      <w:r w:rsidRPr="000251D3">
        <w:rPr>
          <w:lang w:val="en-AU"/>
        </w:rPr>
        <w:t> </w:t>
      </w:r>
    </w:p>
    <w:p w:rsidR="009D25CB" w:rsidRPr="000251D3" w:rsidP="009D25CB">
      <w:pPr>
        <w:pStyle w:val="Normal0"/>
        <w:spacing w:line="240" w:lineRule="auto"/>
        <w:rPr>
          <w:lang w:val="en-AU"/>
        </w:rPr>
      </w:pPr>
      <w:r w:rsidRPr="00C61B9B">
        <w:t>In line with these changes, the NAPLAN section of the Performance Summary includes NAPLAN data from 2022 to 2024. 2022 NAPLAN data is presented separately as this is not comparable with 2023 and 2024.</w:t>
      </w:r>
    </w:p>
    <w:p w:rsidR="009D25CB" w:rsidRPr="000251D3" w:rsidP="009D25CB">
      <w:pPr>
        <w:pStyle w:val="Normal0"/>
        <w:spacing w:line="240" w:lineRule="auto"/>
        <w:rPr>
          <w:lang w:val="en-AU"/>
        </w:rPr>
      </w:pPr>
      <w:r w:rsidRPr="000251D3">
        <w:t xml:space="preserve">The NAPLAN </w:t>
      </w:r>
      <w:r w:rsidRPr="00C61B9B">
        <w:t>section has been updated to</w:t>
      </w:r>
      <w:r>
        <w:t xml:space="preserve"> include</w:t>
      </w:r>
      <w:r w:rsidRPr="000251D3">
        <w:t xml:space="preserve"> a 2-year average (2023 and 2024) for the percentage of students in the Strong or Exceeding proficiency levels. The 2022 NAPLAN section </w:t>
      </w:r>
      <w:r>
        <w:t xml:space="preserve">continues to </w:t>
      </w:r>
      <w:r w:rsidRPr="00631C6C">
        <w:t>report</w:t>
      </w:r>
      <w:r w:rsidRPr="000251D3">
        <w:t xml:space="preserve"> on the percentage of students in the top three bands. </w:t>
      </w:r>
      <w:r w:rsidRPr="000251D3">
        <w:rPr>
          <w:lang w:val="en-AU"/>
        </w:rPr>
        <w:t> </w:t>
      </w:r>
    </w:p>
    <w:p w:rsidR="009D25CB" w:rsidRPr="000251D3" w:rsidP="009D25CB">
      <w:pPr>
        <w:pStyle w:val="Normal0"/>
        <w:spacing w:line="240" w:lineRule="auto"/>
        <w:rPr>
          <w:lang w:val="en-AU"/>
        </w:rPr>
      </w:pPr>
      <w:r w:rsidRPr="000251D3">
        <w:t xml:space="preserve">Please note the previously reported NAPLAN 4-year average will not be available until 2026, when there will be 4 years’ worth of NAPLAN data available under the new methodology. </w:t>
      </w:r>
      <w:r w:rsidRPr="00D648C0">
        <w:t>Similarly, NAPLAN Learning Gain data will not be reported until 202</w:t>
      </w:r>
      <w:r>
        <w:t>5</w:t>
      </w:r>
      <w:r w:rsidRPr="000251D3">
        <w:t xml:space="preserve"> as the </w:t>
      </w:r>
      <w:r w:rsidRPr="00C61B9B">
        <w:t>measure requires at least 3 full years of data for the comparison.</w:t>
      </w:r>
      <w:r w:rsidRPr="00631C6C">
        <w:t xml:space="preserve"> </w:t>
      </w:r>
    </w:p>
    <w:p w:rsidR="005D27E5" w:rsidRPr="00DE50B0" w:rsidP="0050417D">
      <w:pPr>
        <w:pStyle w:val="Normal0"/>
        <w:spacing w:line="240" w:lineRule="auto"/>
        <w:sectPr w:rsidSect="001B7CFD">
          <w:headerReference w:type="default" r:id="rId15"/>
          <w:footerReference w:type="default" r:id="rId16"/>
          <w:headerReference w:type="first" r:id="rId17"/>
          <w:pgSz w:w="11900" w:h="16840"/>
          <w:pgMar w:top="1418" w:right="567" w:bottom="709" w:left="567" w:header="142" w:footer="68" w:gutter="0"/>
          <w:cols w:space="397"/>
          <w:titlePg/>
          <w:docGrid w:linePitch="360"/>
        </w:sectPr>
      </w:pPr>
      <w:r w:rsidRPr="00DE50B0">
        <w:br w:type="page"/>
      </w:r>
    </w:p>
    <w:p w:rsidR="00BB7B33" w:rsidP="00635A6B">
      <w:pPr>
        <w:pStyle w:val="Heading1"/>
        <w:rPr>
          <w:rFonts w:eastAsia="MS Mincho"/>
        </w:rPr>
      </w:pPr>
      <w:r w:rsidRPr="00BB7B33">
        <w:rPr>
          <w:rFonts w:eastAsia="MS Mincho"/>
        </w:rPr>
        <w:t>About Our School</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Tr="009B729F">
        <w:tblPrEx>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tcBorders>
              <w:left w:val="none" w:sz="0" w:space="0" w:color="auto"/>
              <w:right w:val="none" w:sz="0" w:space="0" w:color="auto"/>
            </w:tcBorders>
            <w:shd w:val="clear" w:color="auto" w:fill="auto"/>
          </w:tcPr>
          <w:p w:rsidR="00A56AED" w:rsidRPr="00A56AED" w:rsidP="00A56AED">
            <w:pPr>
              <w:pStyle w:val="Heading2"/>
              <w:rPr>
                <w:b w:val="0"/>
                <w:bCs w:val="0"/>
              </w:rPr>
            </w:pPr>
            <w:r w:rsidRPr="00A56AED">
              <w:rPr>
                <w:b w:val="0"/>
                <w:bCs w:val="0"/>
              </w:rPr>
              <w:t>School context</w:t>
            </w:r>
          </w:p>
        </w:tc>
      </w:tr>
      <w:tr w:rsidTr="009B729F">
        <w:tblPrEx>
          <w:tblW w:w="9781" w:type="dxa"/>
          <w:tblInd w:w="-147" w:type="dxa"/>
          <w:tblLook w:val="04A0"/>
        </w:tblPrEx>
        <w:tc>
          <w:tcPr>
            <w:tcW w:w="9781" w:type="dxa"/>
            <w:shd w:val="clear" w:color="auto" w:fill="auto"/>
          </w:tcPr>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In 2025 the school's population, of 170 students, represents a diverse range of socio-economic, cultural and language backgrounds reflecting the wider community of the City of Darebin. Fifteen teachers provide comprehensive programs in all areas of the Victorian Curriculum with an emphasis on English, Mathematics and Inquiry.  Specialist programs in Languages (Italian), Phys. Ed., Performing Arts, STEM and Visual Arts are provided for all students on a weekly basis. Student learning and wellbeing are enhanced by additional programs including intervention, camping, swimming, interschool sport and targeted social skills programs.  The school also provides transition programs from Kindergarten to Foundation as well as from Year 6 to 7. Six Education Support Staff members undertake a range of support services including administration, integration/classroom support &amp; a library technician. Additional teaching or aide support facilitates the development of positive student teacher relationships, differentiation of learning programs and the Tutor Program.  Out of School Hours &amp; Holiday Care is provided. The school is currently in the second year of the Strategic Plan.</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The school's goals are: </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optimise literacy and numeracy outcomes for all students. </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empower students to have greater agency in their learning.</w:t>
            </w:r>
          </w:p>
          <w:p w:rsidR="00A56AED" w:rsidRPr="00A56AED" w:rsidP="00A56AED">
            <w:pPr>
              <w:numPr>
                <w:ilvl w:val="0"/>
                <w:numId w:val="24"/>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enhance inclusive practices and strengthen student wellbeing capabilities.</w:t>
            </w:r>
          </w:p>
          <w:p w:rsidR="00A56AED" w:rsidRPr="00A56AED" w:rsidP="00A56AED">
            <w:pPr>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FISO:  In 2025 we continued to focus on student learning and wellbeing through the 2025 Priorities Goals and Key Improvement Strategies.   We teach and support each student at their point of need and in line with FISO. The priority KIS for 2025 are: ·        </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improve teacher data literacy and rigorous collaborative practices to plan, measure and evaluate the impact of teaching and learning. </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develop and implement a common language, understanding and practice of student learner agency in all curriculum areas.</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To develop and embed a defined process for student goal setting where students and teachers collaborate to create, track and evaluate goals.</w:t>
            </w:r>
          </w:p>
          <w:p w:rsidR="00A56AED" w:rsidRPr="00A56AED" w:rsidP="00A56AED">
            <w:pPr>
              <w:numPr>
                <w:ilvl w:val="0"/>
                <w:numId w:val="25"/>
              </w:numPr>
              <w:ind w:left="720" w:hanging="201"/>
              <w:rPr>
                <w:rStyle w:val="DefaultParagraphFont"/>
                <w:rFonts w:ascii="Arial" w:eastAsia="Arial" w:hAnsi="Arial" w:cs="Arial"/>
                <w:color w:val="auto"/>
                <w:sz w:val="22"/>
                <w:szCs w:val="22"/>
              </w:rPr>
            </w:pPr>
            <w:r w:rsidRPr="00A56AED">
              <w:rPr>
                <w:rStyle w:val="DefaultParagraphFont"/>
                <w:rFonts w:ascii="Arial" w:eastAsia="Arial" w:hAnsi="Arial" w:cs="Arial"/>
                <w:color w:val="auto"/>
                <w:sz w:val="22"/>
              </w:rPr>
              <w:t>Consolidate the implementation of school-wide wellbeing programs.</w:t>
            </w:r>
          </w:p>
          <w:p w:rsidR="00A56AED" w:rsidRPr="00A56AED"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A56AED" w:rsidP="00A56AED">
            <w:pPr>
              <w:pStyle w:val="Heading2"/>
              <w:rPr>
                <w:bCs w:val="0"/>
              </w:rPr>
            </w:pPr>
            <w:r w:rsidRPr="00BB7B33">
              <w:rPr>
                <w:rFonts w:eastAsia="MS Gothic"/>
              </w:rPr>
              <w:t>Progress towards strategic goals, student outcomes and student engagement</w:t>
            </w: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Learning</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2024 School Comparison measures for NAPLAN show that our students achieved results that are similar to what DET would estimate given the background characteristics of our students on NAPLAN Reading in Year 3 and with a school specific increase in the percentage of students deemed to be in the “strong or exceeding” category. Year 3 Numeracy has seen a very high (approx. 15%) increase from the 2023 result. Year 5 Reading and Numeracy showing similar results to 2023 with Year 5 Reading maintaining the increase seen in the 2023 school result (&gt; 10%). According to teacher judgements against the Victorian Curriculum, student learning outcomes F-6 were lower in Maths and English, when compared to other schools on state comparison measures and have shown a slight specific percentage decrease in results from the previous year. The school’s expectation is that every student deemed capable will make at least one year’s progress each year regardless of their level of achievement.  The effective use of assessment data, particularly at the diagnostic level, continued to be used to differentiate the curriculum to meet individual student’s learning needs. Assessment data continued to be used to provide feedback to individual students to enable them to set their own learning goals.  The early identification of factors that may affect students learning and the provision of appropriate interventions continued to be a high priority. Additional staff have continued to be employed to provide programs that assist the learning and wellbeing of groups and individual students. Arrangements were made to allow for a team approach as often as possible to plan for student learning. The school has a significant number of students on the Program for Students with Disabilities (PSD) and overall a substantial percentage of students for whom teachers are making adjustments to the curriculum. All students on the PSD program have individualized ILPs and regular Student Support Group meetings to discuss progress against goals and make adjustments where necessary.  A number of other students in the school for whom teachers make adjustments, also have an established SSG, ILPs or scheduled meetings during the year.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Wellbeing</w:t>
            </w:r>
          </w:p>
        </w:tc>
      </w:tr>
      <w:tr w:rsidTr="009B729F">
        <w:tblPrEx>
          <w:tblW w:w="9781" w:type="dxa"/>
          <w:tblInd w:w="-147" w:type="dxa"/>
          <w:tblLook w:val="04A0"/>
        </w:tblPrEx>
        <w:tc>
          <w:tcPr>
            <w:tcW w:w="9781" w:type="dxa"/>
            <w:shd w:val="clear" w:color="auto" w:fill="auto"/>
          </w:tcPr>
          <w:tbl>
            <w:tblPr>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9625"/>
            </w:tblGrid>
            <w:tr>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A56AED" w:rsidRPr="00BB7B33" w:rsidP="00A56AED">
                  <w:pPr>
                    <w:rPr>
                      <w:rStyle w:val="DefaultParagraphFont"/>
                      <w:rFonts w:ascii="Arial" w:eastAsia="Arial" w:hAnsi="Arial" w:cs="Arial"/>
                      <w:color w:val="000000"/>
                      <w:sz w:val="22"/>
                      <w:szCs w:val="22"/>
                    </w:rPr>
                  </w:pPr>
                  <w:r w:rsidRPr="00BB7B33">
                    <w:rPr>
                      <w:rStyle w:val="DefaultParagraphFont"/>
                      <w:rFonts w:ascii="Arial" w:eastAsia="Arial" w:hAnsi="Arial" w:cs="Arial"/>
                      <w:color w:val="000000"/>
                      <w:sz w:val="22"/>
                    </w:rPr>
                    <w:t>Our strong links with the local secondary school and kindergartens together with the orientation programs continue to support students’ successful transitions to and from primary school and also continues to make a positive impact on Foundation enrolments. Over the last few years strong links have developed with a number of local kindergartens and childcare centres and this will continue to be a focus in 2025 especially as Foundation enrolments have been lower than expected over the last two years.  To further support students’ transitions within the school, we ensure teachers are provided with background information about students entering their new class that may affect the student’s learning and/or wellbeing and that students know which class they will be in and, where practicably possible, who their teacher will be before the end of each school year. Students visit their new teacher and grade during the last week of Term Four. According to data derived from the Attitudes to School survey completed annually by Victorian government school students in Years 4 to 12, student outcomes for Connectedness to School were similar to 2023 scores but slightly lower than similar schools on school comparison measures for 2024 and on a 4 year average. Measures for Attitudes to Bullying were lower than other schools in 2024 on school comparison measures and on the 4 year average and this will be further explored in 2025 with the aim of improving this score. The school’s well embedded Wellbeing and Buddies programs teaching resilience and Social Skills are taught across all grades from Prep-6 and will continue to be a major focus in 2025. The school has maintained a vertical staff team focussing on Student Engagement and a senior teacher continues to be employed with Student Wellbeing and Inclusion as a focus. Time allocated to this role is continuing in 2025 where a focus will also be allocation of the DET funding in mental health and Tier 2 support. </w:t>
                  </w:r>
                </w:p>
              </w:tc>
            </w:tr>
          </w:tbl>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3"/>
              <w:rPr>
                <w:rFonts w:eastAsia="MS Gothic"/>
              </w:rPr>
            </w:pPr>
            <w:r w:rsidRPr="00BB7B33">
              <w:t>Engagement</w:t>
            </w:r>
          </w:p>
        </w:tc>
      </w:tr>
      <w:tr w:rsidTr="009B729F">
        <w:tblPrEx>
          <w:tblW w:w="9781" w:type="dxa"/>
          <w:tblInd w:w="-147" w:type="dxa"/>
          <w:tblLook w:val="04A0"/>
        </w:tblPrEx>
        <w:tc>
          <w:tcPr>
            <w:tcW w:w="9781" w:type="dxa"/>
            <w:shd w:val="clear" w:color="auto" w:fill="auto"/>
          </w:tcPr>
          <w:p w:rsidR="00A56AED" w:rsidRPr="00BB7B33" w:rsidP="00A56AED">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A consistent approach to student management that is clearly understood by all staff, students and parents and the promotion of positive relationships ensures an orderly learning environment. This continues to be enhanced in 2025 by the school's focus on the Schoolwide Positive Behaviour and Respectful Relationships programs plus the continuation of a house team program that was introduced in 2023.   According to data derived from attendance levels across all year levels during 2024, the area of Engagement is one where the school achieved lower results than those in other similar schools on school comparison with the school average amount of absence days increasing from 2023. When considering the average attendance rate at each year level in 2024, Year 2 was of most concern but also a relatively small cohort. The highest attendance rates were in the Foundation level.. The school’s expectation is that 90% of students will have 95%+ attendance and the school continues to work toward the state median for student absent days. The attendance of a small number of students continues to be a concern and we will continue to work with these families and seek the support of other agencies where appropriate. The school strives towards consistently achieving or improving on the state median with Pender's Grove still presenting higher than both similar school and the state.  Ongoing work enhancing the school’s Inquiry Learning programs also aims to enhance student engagement in, and motivation towards, learning. The dedicated Student Welfare Officer role and additional office support hours allows for a significant amount of time to be dedicated to follow up re. attendance, meeting with families and agencies and 1:1 work with students to assist with regular school attendance. 2024 was also the second year of the “Side by Side” attendance and engagement program in conjunction with staff from Berry Street and VACCA. This program focussed on a small group of students in F-4 where intensive support was given to families to assist with attendance as well as catchup tutoring for students in the program.  The Buddies/Cross Age program between Year 6 &amp; Foundation students, Year 1/2 &amp; Year 4 students and Year 5 &amp; Year 3 students, continued to be highly successful. In 2025 the Buddies program will continue to operate across all areas as a timetabled whole session each fortnight. ‘Student Voice’ continues to be a focus with a well embedded Junior School Council in operation at the school, classroom responsibilities for 3- 6 classes, student leadership of weekly whole school assemblies as well as a focus on student goal setting and feedback.   </w:t>
            </w:r>
          </w:p>
          <w:p w:rsidR="00A56AED" w:rsidRPr="00BB7B33" w:rsidP="00A56AED">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Other highlights from the school year</w:t>
            </w:r>
          </w:p>
        </w:tc>
      </w:tr>
      <w:tr w:rsidTr="009B729F">
        <w:tblPrEx>
          <w:tblW w:w="9781" w:type="dxa"/>
          <w:tblInd w:w="-147" w:type="dxa"/>
          <w:tblLook w:val="04A0"/>
        </w:tblPrEx>
        <w:tc>
          <w:tcPr>
            <w:tcW w:w="9781" w:type="dxa"/>
          </w:tcPr>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Wellbeing and Inclusion programs including Schoolwide Positive Behaviour &amp; Respectful Relationships continued to be major focus along with the house team program.</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student tutoring program continued to be implemented all year by experienced teaching staff.</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Staff professional development was able to occur in the area of Maths teaching, spelling and inquiry/investigations. </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The school undertook the final year of the Primary Maths Specialist program with two staff involved in attending and providing PD for staff and working with small groups across all year levels.</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One graduate staff member participated in the DET First Year of Teaching program where additional support, time release and professional development is prioritised. </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Centenary Celebrations held in November were highly successful and very well supported by current and ex-students as well as the local community and dignitaries.</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DET ramp works greatly improved accessibility to a number of areas around the school.</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Successful camps for Years 2/3 and 4-6 were undertaken at Sovereign Hill, Ballarat.</w:t>
            </w:r>
          </w:p>
          <w:p w:rsidR="00476100" w:rsidRPr="00BB7B33" w:rsidP="00476100">
            <w:pPr>
              <w:numPr>
                <w:ilvl w:val="0"/>
                <w:numId w:val="26"/>
              </w:numPr>
              <w:ind w:left="720" w:hanging="201"/>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School Council were successful in obtaining a number of community grants to support both learning programs and improve outdoor spaces.</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tcPr>
          <w:p w:rsidR="00A56AED" w:rsidRPr="00BB7B33" w:rsidP="00A56AED">
            <w:pPr>
              <w:pStyle w:val="Heading2"/>
              <w:rPr>
                <w:rFonts w:eastAsia="MS Gothic"/>
              </w:rPr>
            </w:pPr>
            <w:r w:rsidRPr="00BB7B33">
              <w:rPr>
                <w:rFonts w:eastAsia="MS Gothic"/>
              </w:rPr>
              <w:t>Financial performance</w:t>
            </w:r>
          </w:p>
        </w:tc>
      </w:tr>
      <w:tr w:rsidTr="009B729F">
        <w:tblPrEx>
          <w:tblW w:w="9781" w:type="dxa"/>
          <w:tblInd w:w="-147" w:type="dxa"/>
          <w:tblLook w:val="04A0"/>
        </w:tblPrEx>
        <w:tc>
          <w:tcPr>
            <w:tcW w:w="9781" w:type="dxa"/>
            <w:shd w:val="clear" w:color="auto" w:fill="auto"/>
          </w:tcPr>
          <w:p w:rsidR="00476100" w:rsidRPr="00BB7B33" w:rsidP="00476100">
            <w:pPr>
              <w:rPr>
                <w:rStyle w:val="DefaultParagraphFont"/>
                <w:rFonts w:ascii="Arial" w:eastAsia="Arial" w:hAnsi="Arial" w:cs="Arial"/>
                <w:color w:val="auto"/>
                <w:sz w:val="22"/>
                <w:szCs w:val="22"/>
              </w:rPr>
            </w:pPr>
            <w:r w:rsidRPr="00BB7B33">
              <w:rPr>
                <w:rStyle w:val="DefaultParagraphFont"/>
                <w:rFonts w:ascii="Arial" w:eastAsia="Arial" w:hAnsi="Arial" w:cs="Arial"/>
                <w:color w:val="auto"/>
                <w:sz w:val="22"/>
              </w:rPr>
              <w:t>In 2024 the school continued to make improvements in the areas of general maintenance and physical resourcing eg. New bespoke furniture for the STEM space, new outdoor classroom spaces and front pathway, new carpets/blinds/heating-cooling in one LTC classroom utilized in 2024 by the Victorian School of Languages, outdoor playspaces (gaga pit), new heating/cooling in the library/admin area/two classrooms. The school expended Equity and Tier 2 monies on additional teaching and support staff to support the school’s teacher release (including leadership release) literacy intervention, student support and leadership programs (in line with the school’s FISO foci).  DET’s allocation of Student Welfare funding allowed the school to continue to allocate a teaching staff member to this role. The school continues to maintain a sound financial position with monies in reserve in preparation for future building and grounds improvements and/or additional student support resourcing if required. </w:t>
            </w:r>
          </w:p>
          <w:p w:rsidR="00476100" w:rsidRPr="00BB7B33" w:rsidP="00476100">
            <w:pPr>
              <w:rPr>
                <w:rFonts w:ascii="Arial" w:eastAsia="Arial" w:hAnsi="Arial" w:cs="Arial"/>
                <w:color w:val="auto"/>
                <w:sz w:val="22"/>
              </w:rPr>
            </w:pPr>
          </w:p>
        </w:tc>
      </w:tr>
      <w:tr w:rsidTr="009B729F">
        <w:tblPrEx>
          <w:tblW w:w="9781" w:type="dxa"/>
          <w:tblInd w:w="-147" w:type="dxa"/>
          <w:tblLook w:val="04A0"/>
        </w:tblPrEx>
        <w:tc>
          <w:tcPr>
            <w:tcW w:w="9781" w:type="dxa"/>
            <w:noWrap w:val="0"/>
          </w:tcPr>
          <w:p w:rsidR="00476100" w:rsidRPr="00BB7B33" w:rsidP="00476100"/>
          <w:p>
            <w:pPr>
              <w:jc w:val="center"/>
              <w:rPr>
                <w:rStyle w:val="DefaultParagraphFont"/>
                <w:rFonts w:ascii="Arial" w:eastAsia="Arial" w:hAnsi="Arial" w:cs="Arial"/>
                <w:sz w:val="22"/>
                <w:szCs w:val="22"/>
              </w:rPr>
            </w:pPr>
            <w:r>
              <w:rPr>
                <w:rStyle w:val="DefaultParagraphFont"/>
                <w:rFonts w:ascii="Arial" w:eastAsia="Arial" w:hAnsi="Arial" w:cs="Arial"/>
                <w:b/>
                <w:bCs/>
                <w:sz w:val="22"/>
                <w:szCs w:val="22"/>
              </w:rPr>
              <w:t xml:space="preserve">For more detailed information regarding our school please visit our website at </w:t>
            </w:r>
            <w:r>
              <w:rPr>
                <w:rStyle w:val="DefaultParagraphFont"/>
                <w:rFonts w:ascii="Arial" w:eastAsia="Arial" w:hAnsi="Arial" w:cs="Arial"/>
                <w:b/>
                <w:bCs/>
                <w:sz w:val="22"/>
                <w:szCs w:val="22"/>
              </w:rPr>
              <w:fldChar w:fldCharType="begin"/>
            </w:r>
            <w:r>
              <w:rPr>
                <w:rStyle w:val="DefaultParagraphFont"/>
                <w:rFonts w:ascii="Arial" w:eastAsia="Arial" w:hAnsi="Arial" w:cs="Arial"/>
                <w:b/>
                <w:bCs/>
                <w:sz w:val="22"/>
                <w:szCs w:val="22"/>
              </w:rPr>
              <w:instrText xml:space="preserve"> HYPERLINK "www.pendersgroveps.vic.edu.au" </w:instrText>
            </w:r>
            <w:r>
              <w:rPr>
                <w:rStyle w:val="DefaultParagraphFont"/>
                <w:rFonts w:ascii="Arial" w:eastAsia="Arial" w:hAnsi="Arial" w:cs="Arial"/>
                <w:b/>
                <w:bCs/>
                <w:sz w:val="22"/>
                <w:szCs w:val="22"/>
              </w:rPr>
              <w:fldChar w:fldCharType="separate"/>
            </w:r>
            <w:r>
              <w:rPr>
                <w:rStyle w:val="DefaultParagraphFont"/>
                <w:rFonts w:ascii="Arial" w:eastAsia="Arial" w:hAnsi="Arial" w:cs="Arial"/>
                <w:b/>
                <w:bCs/>
                <w:sz w:val="22"/>
                <w:szCs w:val="22"/>
              </w:rPr>
              <w:t>www.pendersgroveps.vic.edu.au</w:t>
            </w:r>
            <w:r>
              <w:rPr>
                <w:rStyle w:val="DefaultParagraphFont"/>
                <w:rFonts w:ascii="Arial" w:eastAsia="Arial" w:hAnsi="Arial" w:cs="Arial"/>
                <w:b/>
                <w:bCs/>
                <w:sz w:val="22"/>
                <w:szCs w:val="22"/>
              </w:rPr>
              <w:fldChar w:fldCharType="end"/>
            </w:r>
          </w:p>
          <w:p>
            <w:pPr>
              <w:rPr>
                <w:rFonts w:ascii="Arial" w:eastAsia="Arial" w:hAnsi="Arial" w:cs="Arial"/>
                <w:sz w:val="22"/>
              </w:rPr>
            </w:pPr>
          </w:p>
        </w:tc>
      </w:tr>
    </w:tbl>
    <w:p w:rsidR="0065776E" w:rsidP="004827CE">
      <w:pPr>
        <w:spacing w:before="0" w:after="0" w:line="240" w:lineRule="auto"/>
      </w:pPr>
    </w:p>
    <w:p w:rsidR="0065776E">
      <w:pPr>
        <w:spacing w:before="0" w:after="0" w:line="240" w:lineRule="auto"/>
      </w:pPr>
      <w:r>
        <w:br w:type="page"/>
      </w:r>
    </w:p>
    <w:p w:rsidR="00147B2E" w:rsidP="004827CE">
      <w:pPr>
        <w:spacing w:before="0" w:after="0" w:line="240" w:lineRule="auto"/>
        <w:sectPr w:rsidSect="0024636E">
          <w:headerReference w:type="default" r:id="rId18"/>
          <w:footerReference w:type="default" r:id="rId19"/>
          <w:headerReference w:type="first" r:id="rId20"/>
          <w:pgSz w:w="11900" w:h="16840"/>
          <w:pgMar w:top="1882" w:right="567" w:bottom="1701" w:left="567" w:header="227" w:footer="0" w:gutter="0"/>
          <w:cols w:space="708"/>
          <w:docGrid w:linePitch="360"/>
        </w:sectPr>
      </w:pPr>
    </w:p>
    <w:p w:rsidR="009E6D61" w:rsidRPr="00DE50B0" w:rsidP="00B637FF">
      <w:pPr>
        <w:pStyle w:val="Title0"/>
        <w:rPr>
          <w:rFonts w:cs="Arial"/>
          <w:color w:val="D40032"/>
        </w:rPr>
      </w:pPr>
      <w:r w:rsidRPr="00DE50B0">
        <w:rPr>
          <w:rFonts w:cs="Arial"/>
          <w:color w:val="D40032"/>
        </w:rPr>
        <w:t>Performance Summary</w:t>
      </w:r>
    </w:p>
    <w:p w:rsidR="008B3EE8" w:rsidRPr="00DE50B0" w:rsidP="008B3EE8">
      <w:pPr>
        <w:pStyle w:val="ESBodyText"/>
      </w:pPr>
      <w:r w:rsidRPr="00DE50B0">
        <w:t>The Performance Summary for government schools provides an overview of how this school is contributing to the objectives of the Education State and how it compares to other Victorian government schools.</w:t>
      </w:r>
    </w:p>
    <w:p w:rsidR="008B3EE8" w:rsidRPr="00DE50B0" w:rsidP="008B3EE8">
      <w:pPr>
        <w:pStyle w:val="ESBodyText"/>
      </w:pPr>
      <w:r w:rsidRPr="00DE50B0">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RPr="00DE50B0" w:rsidP="008B3EE8">
      <w:pPr>
        <w:pStyle w:val="ESBodyText"/>
      </w:pPr>
      <w:r w:rsidRPr="00DE50B0">
        <w:t>Refer to the ‘How to read the Annual Report’ section for help on how to interpret this report.</w:t>
      </w:r>
    </w:p>
    <w:p w:rsidR="009E6D61" w:rsidRPr="00DE50B0" w:rsidP="00B637FF">
      <w:pPr>
        <w:pStyle w:val="Style11"/>
        <w:rPr>
          <w:rFonts w:cs="Arial"/>
          <w:b/>
          <w:bCs w:val="0"/>
          <w:color w:val="D40032"/>
        </w:rPr>
      </w:pPr>
      <w:r w:rsidRPr="00DE50B0">
        <w:rPr>
          <w:rFonts w:cs="Arial"/>
          <w:b/>
          <w:bCs w:val="0"/>
          <w:color w:val="D40032"/>
        </w:rPr>
        <w:t>SCHOOL PROFILE</w:t>
      </w:r>
    </w:p>
    <w:p w:rsidR="009E6D61" w:rsidRPr="00DE50B0" w:rsidP="00B637FF">
      <w:pPr>
        <w:pStyle w:val="ESHeading3"/>
        <w:rPr>
          <w:color w:val="1F1646"/>
        </w:rPr>
      </w:pPr>
      <w:r w:rsidRPr="00DE50B0">
        <w:rPr>
          <w:color w:val="1F1646"/>
        </w:rPr>
        <w:t>Enrolment Profile</w:t>
      </w:r>
    </w:p>
    <w:p w:rsidR="009E6D61" w:rsidRPr="00DE50B0">
      <w:pPr>
        <w:pStyle w:val="ESBodyText"/>
      </w:pPr>
      <w:r w:rsidRPr="00DE50B0">
        <w:t>A total of</w:t>
      </w:r>
      <w:r>
        <w:t xml:space="preserve"> 180</w:t>
      </w:r>
      <w:r w:rsidRPr="00DE50B0">
        <w:t xml:space="preserve"> students were enrolled at this school in </w:t>
      </w:r>
      <w:r w:rsidRPr="00DE50B0" w:rsidR="008261D0">
        <w:t>2024</w:t>
      </w:r>
      <w:r w:rsidRPr="00DE50B0">
        <w:t>,</w:t>
      </w:r>
      <w:r>
        <w:t xml:space="preserve">  79</w:t>
      </w:r>
      <w:r w:rsidRPr="00DE50B0">
        <w:t xml:space="preserve"> female and</w:t>
      </w:r>
      <w:r>
        <w:t xml:space="preserve"> 101</w:t>
      </w:r>
      <w:r w:rsidRPr="00DE50B0">
        <w:t xml:space="preserve"> male.</w:t>
      </w:r>
    </w:p>
    <w:p w:rsidR="009E6D61" w:rsidRPr="00DE50B0">
      <w:pPr>
        <w:pStyle w:val="ESBodyText"/>
      </w:pPr>
      <w:r>
        <w:t>14</w:t>
      </w:r>
      <w:r w:rsidRPr="00DE50B0" w:rsidR="007567CF">
        <w:t xml:space="preserve"> percent of students had English as an additional language and </w:t>
      </w:r>
      <w:r>
        <w:t>15</w:t>
      </w:r>
      <w:r w:rsidRPr="00DE50B0" w:rsidR="007567CF">
        <w:t xml:space="preserve"> percent were Aboriginal or Torres Strait Islander.</w:t>
      </w:r>
    </w:p>
    <w:p w:rsidR="009E6D61" w:rsidRPr="00DE50B0" w:rsidP="00742BDA">
      <w:pPr>
        <w:pStyle w:val="ESHeading3"/>
        <w:spacing w:before="360"/>
        <w:rPr>
          <w:color w:val="1F1646"/>
        </w:rPr>
      </w:pPr>
      <w:r w:rsidRPr="00DE50B0">
        <w:rPr>
          <w:color w:val="1F1646"/>
        </w:rPr>
        <w:t>Overall Socio-Economic Profile</w:t>
      </w:r>
    </w:p>
    <w:p w:rsidR="009E6D61" w:rsidRPr="00DE50B0">
      <w:pPr>
        <w:pStyle w:val="ESBodyText"/>
      </w:pPr>
      <w:r w:rsidRPr="00DE50B0">
        <w:t>The overall school’s socio-economic profile is based on the school's Student Family Occupation and Education index (SFOE).</w:t>
      </w:r>
    </w:p>
    <w:p w:rsidR="009E6D61" w:rsidRPr="00DE50B0">
      <w:pPr>
        <w:pStyle w:val="ESBodyText"/>
      </w:pPr>
      <w:r w:rsidRPr="00DE50B0">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DE50B0">
      <w:pPr>
        <w:pStyle w:val="ESBodyText"/>
      </w:pPr>
      <w:r w:rsidRPr="00DE50B0">
        <w:t xml:space="preserve">This school’s </w:t>
      </w:r>
      <w:r w:rsidRPr="00DE50B0" w:rsidR="00E72DE6">
        <w:t>SFOE</w:t>
      </w:r>
      <w:r w:rsidRPr="00DE50B0">
        <w:t xml:space="preserve"> band value is: </w:t>
      </w:r>
      <w:r>
        <w:rPr>
          <w:b/>
          <w:bCs/>
          <w:color w:val="1F1646"/>
        </w:rPr>
        <w:t>Low - Medium</w:t>
      </w:r>
    </w:p>
    <w:p w:rsidR="008A558E" w:rsidRPr="00DE50B0" w:rsidP="008A558E">
      <w:pPr>
        <w:pStyle w:val="ESHeading3"/>
        <w:spacing w:before="360"/>
        <w:rPr>
          <w:color w:val="1F1646"/>
        </w:rPr>
      </w:pPr>
      <w:r w:rsidRPr="00DE50B0">
        <w:rPr>
          <w:color w:val="1F1646"/>
        </w:rPr>
        <w:t>Parent Satisfaction Summary</w:t>
      </w:r>
    </w:p>
    <w:p w:rsidR="008A558E" w:rsidRPr="00DE50B0" w:rsidP="008A558E">
      <w:pPr>
        <w:pStyle w:val="ESBodyText"/>
      </w:pPr>
      <w:bookmarkStart w:id="2" w:name="_Hlk156969784"/>
      <w:r w:rsidRPr="00DE50B0">
        <w:t>The percentage endorsement by parents on their General School Satisfaction, as reported in the annual Parent/Caregiver/Guardian Opinion Survey.</w:t>
      </w:r>
    </w:p>
    <w:p w:rsidR="009E6D61" w:rsidP="008261D0">
      <w:pPr>
        <w:pStyle w:val="ESBodyText"/>
        <w:spacing w:after="0"/>
      </w:pPr>
      <w:bookmarkEnd w:id="2"/>
      <w:r w:rsidRPr="00DE50B0">
        <w:rPr>
          <w:noProof/>
        </w:rPr>
        <w:drawing>
          <wp:anchor distT="0" distB="0" distL="114300" distR="114300" simplePos="0" relativeHeight="251669504" behindDoc="0" locked="0" layoutInCell="1" allowOverlap="1">
            <wp:simplePos x="0" y="0"/>
            <wp:positionH relativeFrom="column">
              <wp:posOffset>3385185</wp:posOffset>
            </wp:positionH>
            <wp:positionV relativeFrom="paragraph">
              <wp:posOffset>341630</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50B0" w:rsidR="00DF5E8D">
        <w:t>P</w:t>
      </w:r>
      <w:r w:rsidRPr="00DE50B0" w:rsidR="007567CF">
        <w:t>ercent endorsement indicates the percent of positive responses (agree or strongly agree) from parents who responded to the survey.</w:t>
      </w:r>
    </w:p>
    <w:p w:rsidR="00DE50B0" w:rsidRPr="00DE50B0" w:rsidP="008261D0">
      <w:pPr>
        <w:pStyle w:val="ESBodyText"/>
        <w:spacing w:after="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pPr>
              <w:pStyle w:val="ESBodyText"/>
              <w:rPr>
                <w:b/>
                <w:bCs/>
                <w:color w:val="1F1646"/>
              </w:rPr>
            </w:pPr>
            <w:r w:rsidRPr="00DE50B0">
              <w:rPr>
                <w:b/>
                <w:bCs/>
                <w:color w:val="1F1646"/>
              </w:rPr>
              <w:t>Parent Satisfaction</w:t>
            </w:r>
          </w:p>
        </w:tc>
        <w:tc>
          <w:tcPr>
            <w:tcW w:w="1139" w:type="dxa"/>
            <w:vAlign w:val="bottom"/>
          </w:tcPr>
          <w:p w:rsidR="00DF5E8D" w:rsidRPr="00DE50B0" w:rsidP="00DF5E8D">
            <w:pPr>
              <w:pStyle w:val="ESBodyText"/>
              <w:jc w:val="center"/>
              <w:rPr>
                <w:b/>
                <w:bCs/>
                <w:color w:val="1F1646"/>
              </w:rPr>
            </w:pPr>
            <w:r w:rsidRPr="00DE50B0">
              <w:rPr>
                <w:color w:val="1F1646"/>
              </w:rPr>
              <w:t>Latest year (</w:t>
            </w:r>
            <w:r w:rsidRPr="00DE50B0" w:rsidR="008261D0">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34" w:type="dxa"/>
            <w:tcBorders>
              <w:bottom w:val="single" w:sz="4" w:space="0" w:color="FFFFFF" w:themeColor="background1"/>
            </w:tcBorders>
            <w:shd w:val="clear" w:color="auto" w:fill="D40032"/>
            <w:tcMar>
              <w:top w:w="57" w:type="dxa"/>
            </w:tcMar>
            <w:vAlign w:val="center"/>
          </w:tcPr>
          <w:p w:rsidR="00DF5E8D" w:rsidRPr="00DE50B0" w:rsidP="00DF5E8D">
            <w:pPr>
              <w:pStyle w:val="ESBodyText"/>
              <w:jc w:val="center"/>
              <w:rPr>
                <w:color w:val="1F1646"/>
              </w:rPr>
            </w:pPr>
            <w:r>
              <w:rPr>
                <w:color w:val="FFFFFF"/>
              </w:rPr>
              <w:t>75.9%</w:t>
            </w:r>
          </w:p>
        </w:tc>
      </w:tr>
      <w:tr w:rsidTr="00A00971">
        <w:tblPrEx>
          <w:tblW w:w="0" w:type="auto"/>
          <w:tblLook w:val="04A0"/>
        </w:tblPrEx>
        <w:trPr>
          <w:trHeight w:val="567"/>
        </w:trPr>
        <w:tc>
          <w:tcPr>
            <w:tcW w:w="3256" w:type="dxa"/>
            <w:tcMar>
              <w:top w:w="57" w:type="dxa"/>
            </w:tcMar>
            <w:vAlign w:val="center"/>
          </w:tcPr>
          <w:p w:rsidR="00DF5E8D" w:rsidRPr="00DE50B0">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34" w:type="dxa"/>
            <w:tcBorders>
              <w:top w:val="single" w:sz="4" w:space="0" w:color="FFFFFF" w:themeColor="background1"/>
            </w:tcBorders>
            <w:shd w:val="clear" w:color="auto" w:fill="1F1646"/>
            <w:tcMar>
              <w:top w:w="57" w:type="dxa"/>
            </w:tcMar>
            <w:vAlign w:val="center"/>
          </w:tcPr>
          <w:p w:rsidR="00DF5E8D" w:rsidRPr="00DE50B0" w:rsidP="00DF5E8D">
            <w:pPr>
              <w:pStyle w:val="ESBodyText"/>
              <w:jc w:val="center"/>
              <w:rPr>
                <w:color w:val="1F1646"/>
              </w:rPr>
            </w:pPr>
            <w:r>
              <w:rPr>
                <w:color w:val="FFFFFF"/>
              </w:rPr>
              <w:t>81.6%</w:t>
            </w:r>
          </w:p>
        </w:tc>
      </w:tr>
    </w:tbl>
    <w:p w:rsidR="00001860" w:rsidRPr="00DE50B0" w:rsidP="00B55D76">
      <w:pPr>
        <w:pStyle w:val="ESBodyText"/>
        <w:spacing w:after="0" w:line="240" w:lineRule="auto"/>
      </w:pPr>
    </w:p>
    <w:p w:rsidR="00DE50B0" w:rsidP="00B637FF">
      <w:pPr>
        <w:pStyle w:val="ESHeading3"/>
        <w:rPr>
          <w:color w:val="1F1646"/>
        </w:rPr>
      </w:pPr>
    </w:p>
    <w:p w:rsidR="009E6D61" w:rsidRPr="00DE50B0" w:rsidP="00B637FF">
      <w:pPr>
        <w:pStyle w:val="ESHeading3"/>
        <w:rPr>
          <w:color w:val="1F1646"/>
        </w:rPr>
      </w:pPr>
      <w:r w:rsidRPr="00DE50B0">
        <w:rPr>
          <w:color w:val="1F1646"/>
        </w:rPr>
        <w:t>School Staff Survey</w:t>
      </w:r>
    </w:p>
    <w:p w:rsidR="009E6D61" w:rsidRPr="00DE50B0">
      <w:pPr>
        <w:pStyle w:val="ESBodyText"/>
      </w:pPr>
      <w:r w:rsidRPr="00DE50B0">
        <w:t>The percent endorsement by staff on School Climate, as reported in the annual School Staff Survey.</w:t>
      </w:r>
    </w:p>
    <w:p w:rsidR="009E6D61" w:rsidRPr="00DE50B0">
      <w:pPr>
        <w:pStyle w:val="ESBodyText"/>
      </w:pPr>
      <w:r w:rsidRPr="00DE50B0">
        <w:t>Percent endorsement indicates the percent of positive responses (agree or strongly agree) from staff who responded to the survey.</w:t>
      </w:r>
    </w:p>
    <w:p w:rsidR="009E6D61" w:rsidRPr="00DE50B0" w:rsidP="00DF5E8D">
      <w:pPr>
        <w:pStyle w:val="ESBodyText"/>
        <w:spacing w:after="360"/>
      </w:pPr>
      <w:r w:rsidRPr="00DE50B0">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281940</wp:posOffset>
            </wp:positionV>
            <wp:extent cx="3521710" cy="1468967"/>
            <wp:effectExtent l="0" t="0" r="2540" b="0"/>
            <wp:wrapNone/>
            <wp:docPr id="9057702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DE50B0" w:rsidR="007567CF">
        <w:t>Data is suppressed for schools with three or less respondents to the survey for confidentiality reasons.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40"/>
      </w:tblGrid>
      <w:tr w:rsidTr="003D641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88"/>
        </w:trPr>
        <w:tc>
          <w:tcPr>
            <w:tcW w:w="3256" w:type="dxa"/>
            <w:vAlign w:val="bottom"/>
          </w:tcPr>
          <w:p w:rsidR="00DF5E8D" w:rsidRPr="00DE50B0" w:rsidP="00BA1967">
            <w:pPr>
              <w:pStyle w:val="ESBodyText"/>
              <w:rPr>
                <w:b/>
                <w:bCs/>
                <w:color w:val="1F1646"/>
              </w:rPr>
            </w:pPr>
            <w:r w:rsidRPr="00DE50B0">
              <w:rPr>
                <w:b/>
                <w:bCs/>
                <w:color w:val="1F1646"/>
              </w:rPr>
              <w:t>School Climate</w:t>
            </w:r>
          </w:p>
        </w:tc>
        <w:tc>
          <w:tcPr>
            <w:tcW w:w="1140" w:type="dxa"/>
          </w:tcPr>
          <w:p w:rsidR="00DF5E8D" w:rsidRPr="00DE50B0" w:rsidP="00BA1967">
            <w:pPr>
              <w:pStyle w:val="ESBodyText"/>
              <w:jc w:val="center"/>
              <w:rPr>
                <w:b/>
                <w:bCs/>
                <w:color w:val="1F1646"/>
              </w:rPr>
            </w:pPr>
            <w:r w:rsidRPr="00DE50B0">
              <w:rPr>
                <w:color w:val="1F1646"/>
              </w:rPr>
              <w:t>Latest year (</w:t>
            </w:r>
            <w:r w:rsidRPr="00DE50B0" w:rsidR="00443177">
              <w:rPr>
                <w:color w:val="1F1646"/>
              </w:rPr>
              <w:t>2024</w:t>
            </w:r>
            <w:r w:rsidRPr="00DE50B0">
              <w:rPr>
                <w:color w:val="1F1646"/>
              </w:rPr>
              <w:t>)</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endorsement:</w:t>
            </w:r>
          </w:p>
        </w:tc>
        <w:tc>
          <w:tcPr>
            <w:tcW w:w="1140" w:type="dxa"/>
            <w:tcBorders>
              <w:bottom w:val="single" w:sz="4" w:space="0" w:color="FFFFFF" w:themeColor="background1"/>
            </w:tcBorders>
            <w:shd w:val="clear" w:color="auto" w:fill="D40032"/>
            <w:tcMar>
              <w:top w:w="57" w:type="dxa"/>
            </w:tcMar>
            <w:vAlign w:val="center"/>
          </w:tcPr>
          <w:p w:rsidR="00DF5E8D" w:rsidRPr="00DE50B0" w:rsidP="00BA1967">
            <w:pPr>
              <w:pStyle w:val="ESBodyText"/>
              <w:jc w:val="center"/>
              <w:rPr>
                <w:color w:val="FFFFFF"/>
              </w:rPr>
            </w:pPr>
            <w:r>
              <w:rPr>
                <w:color w:val="FFFFFF"/>
              </w:rPr>
              <w:t>72.0%</w:t>
            </w:r>
          </w:p>
        </w:tc>
      </w:tr>
      <w:tr w:rsidTr="00A00971">
        <w:tblPrEx>
          <w:tblW w:w="0" w:type="auto"/>
          <w:tblLook w:val="04A0"/>
        </w:tblPrEx>
        <w:trPr>
          <w:trHeight w:val="567"/>
        </w:trPr>
        <w:tc>
          <w:tcPr>
            <w:tcW w:w="3256" w:type="dxa"/>
            <w:tcMar>
              <w:top w:w="57" w:type="dxa"/>
            </w:tcMar>
            <w:vAlign w:val="center"/>
          </w:tcPr>
          <w:p w:rsidR="00DF5E8D" w:rsidRPr="00DE50B0" w:rsidP="00BA1967">
            <w:pPr>
              <w:pStyle w:val="ESBodyText"/>
              <w:rPr>
                <w:color w:val="1F1646"/>
              </w:rPr>
            </w:pPr>
            <w:r w:rsidRPr="00DE50B0">
              <w:rPr>
                <w:color w:val="1F1646"/>
              </w:rPr>
              <w:t>State average</w:t>
            </w:r>
            <w:r w:rsidRPr="00DE50B0" w:rsidR="003E4583">
              <w:rPr>
                <w:color w:val="1F1646"/>
              </w:rPr>
              <w:t xml:space="preserve"> (primary schools)</w:t>
            </w:r>
            <w:r w:rsidRPr="00DE50B0">
              <w:rPr>
                <w:color w:val="1F1646"/>
              </w:rPr>
              <w:t>:</w:t>
            </w:r>
          </w:p>
        </w:tc>
        <w:tc>
          <w:tcPr>
            <w:tcW w:w="1140" w:type="dxa"/>
            <w:tcBorders>
              <w:top w:val="single" w:sz="4" w:space="0" w:color="FFFFFF" w:themeColor="background1"/>
            </w:tcBorders>
            <w:shd w:val="clear" w:color="auto" w:fill="1F1646"/>
            <w:tcMar>
              <w:top w:w="57" w:type="dxa"/>
            </w:tcMar>
            <w:vAlign w:val="center"/>
          </w:tcPr>
          <w:p w:rsidR="00DF5E8D" w:rsidRPr="00DE50B0" w:rsidP="00BA1967">
            <w:pPr>
              <w:pStyle w:val="ESBodyText"/>
              <w:jc w:val="center"/>
              <w:rPr>
                <w:color w:val="1F1646"/>
              </w:rPr>
            </w:pPr>
            <w:r>
              <w:rPr>
                <w:color w:val="FFFFFF"/>
              </w:rPr>
              <w:t>77.7%</w:t>
            </w:r>
          </w:p>
        </w:tc>
      </w:tr>
    </w:tbl>
    <w:p w:rsidR="0060208A" w:rsidRPr="00DE50B0" w:rsidP="00F14C40">
      <w:pPr>
        <w:pStyle w:val="ESBodyText"/>
        <w:spacing w:before="240" w:line="240" w:lineRule="auto"/>
        <w:ind w:left="567" w:hanging="567"/>
        <w:rPr>
          <w:b/>
          <w:iCs/>
          <w:color w:val="D40032"/>
          <w:sz w:val="24"/>
          <w:szCs w:val="24"/>
        </w:rPr>
      </w:pPr>
      <w:r w:rsidRPr="00DE50B0">
        <w:rPr>
          <w:b/>
          <w:iCs/>
          <w:color w:val="D40032"/>
          <w:sz w:val="24"/>
          <w:szCs w:val="24"/>
        </w:rPr>
        <w:t>LEARNING</w:t>
      </w:r>
    </w:p>
    <w:p w:rsidR="004777FF"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auto"/>
        </w:rPr>
      </w:pPr>
      <w:r w:rsidRPr="00DE50B0">
        <w:t>Teacher Judgement of student achievement</w:t>
      </w:r>
      <w:r w:rsidRPr="00DE50B0" w:rsidR="00E346A0">
        <w:rPr>
          <w:noProof/>
        </w:rPr>
        <w:t xml:space="preserve"> </w:t>
      </w:r>
      <w:r w:rsidRPr="00DE50B0" w:rsidR="008A558E">
        <w:rPr>
          <w:noProof/>
        </w:rPr>
        <w:t>against the Victorian Curriculum</w:t>
      </w:r>
    </w:p>
    <w:p w:rsidR="00E5145E" w:rsidRPr="00DE50B0" w:rsidP="006D6BB2">
      <w:pPr>
        <w:pStyle w:val="ESBodyText"/>
      </w:pPr>
      <w:r w:rsidRPr="00DE50B0">
        <w:t>Percentage of students working at or above age expected standards in</w:t>
      </w:r>
      <w:r w:rsidRPr="00DE50B0" w:rsidR="006D6BB2">
        <w:t xml:space="preserve"> English and Mathematics.</w:t>
      </w:r>
    </w:p>
    <w:p w:rsidR="006D6BB2" w:rsidRPr="00DE50B0" w:rsidP="00B86B64">
      <w:pPr>
        <w:pStyle w:val="ESBodyText"/>
        <w:spacing w:after="0" w:line="240" w:lineRule="auto"/>
      </w:pPr>
      <w:r w:rsidRPr="00DE50B0">
        <w:rPr>
          <w:noProof/>
        </w:rPr>
        <w:drawing>
          <wp:anchor distT="0" distB="0" distL="114300" distR="114300" simplePos="0" relativeHeight="251667456" behindDoc="0" locked="0" layoutInCell="1" allowOverlap="1">
            <wp:simplePos x="0" y="0"/>
            <wp:positionH relativeFrom="column">
              <wp:posOffset>3373755</wp:posOffset>
            </wp:positionH>
            <wp:positionV relativeFrom="paragraph">
              <wp:posOffset>10795</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E346A0">
            <w:pPr>
              <w:pStyle w:val="Normal0"/>
              <w:spacing w:after="0" w:line="240" w:lineRule="auto"/>
              <w:rPr>
                <w:rFonts w:eastAsia="Times New Roman"/>
                <w:b/>
                <w:bCs/>
                <w:color w:val="1F1646"/>
                <w:lang w:val="en-AU" w:eastAsia="en-AU"/>
              </w:rPr>
            </w:pPr>
            <w:bookmarkStart w:id="3" w:name="_Hlk47698494"/>
            <w:r w:rsidRPr="00DE50B0">
              <w:rPr>
                <w:rFonts w:eastAsia="Times New Roman"/>
                <w:b/>
                <w:bCs/>
                <w:color w:val="1F1646"/>
                <w:lang w:val="en-AU" w:eastAsia="en-AU"/>
              </w:rPr>
              <w:t>English</w:t>
            </w:r>
          </w:p>
          <w:p w:rsidR="00E346A0" w:rsidRPr="00DE50B0" w:rsidP="00E346A0">
            <w:pPr>
              <w:pStyle w:val="ESBodyText"/>
              <w:rPr>
                <w:color w:val="1F1646"/>
              </w:rPr>
            </w:pPr>
            <w:bookmarkEnd w:id="3"/>
            <w:r w:rsidRPr="00DE50B0">
              <w:rPr>
                <w:rFonts w:eastAsia="Times New Roman"/>
                <w:b/>
                <w:bCs/>
                <w:color w:val="1F1646"/>
                <w:lang w:val="en-AU" w:eastAsia="en-AU"/>
              </w:rPr>
              <w:t>Years Prep to 6</w:t>
            </w:r>
          </w:p>
        </w:tc>
        <w:tc>
          <w:tcPr>
            <w:tcW w:w="1247" w:type="dxa"/>
            <w:gridSpan w:val="2"/>
            <w:vAlign w:val="bottom"/>
          </w:tcPr>
          <w:p w:rsidR="00E346A0" w:rsidRPr="00DE50B0" w:rsidP="00E346A0">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E346A0">
            <w:pPr>
              <w:pStyle w:val="ESBodyText"/>
              <w:jc w:val="center"/>
              <w:rPr>
                <w:color w:val="FFFFFF"/>
              </w:rPr>
            </w:pPr>
            <w:r>
              <w:rPr>
                <w:color w:val="FFFFFF"/>
              </w:rPr>
              <w:t>77.6%</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E346A0">
            <w:pPr>
              <w:pStyle w:val="ESBodyText"/>
              <w:jc w:val="center"/>
              <w:rPr>
                <w:color w:val="1F1646"/>
              </w:rPr>
            </w:pPr>
            <w:r>
              <w:rPr>
                <w:color w:val="1F1646"/>
              </w:rPr>
              <w:t>87.0%</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6D6BB2">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E346A0">
            <w:pPr>
              <w:pStyle w:val="ESBodyText"/>
              <w:jc w:val="center"/>
              <w:rPr>
                <w:color w:val="FFFFFF"/>
              </w:rPr>
            </w:pPr>
            <w:r>
              <w:rPr>
                <w:color w:val="FFFFFF"/>
              </w:rPr>
              <w:t>86.4%</w:t>
            </w:r>
          </w:p>
        </w:tc>
      </w:tr>
    </w:tbl>
    <w:p w:rsidR="00E346A0" w:rsidRPr="00DE50B0" w:rsidP="006D6BB2">
      <w:pPr>
        <w:pStyle w:val="ESBodyText"/>
      </w:pPr>
    </w:p>
    <w:p w:rsidR="00E346A0" w:rsidRPr="00DE50B0" w:rsidP="006D6BB2">
      <w:pPr>
        <w:pStyle w:val="ESBodyText"/>
      </w:pPr>
    </w:p>
    <w:p w:rsidR="00E346A0" w:rsidRPr="00DE50B0" w:rsidP="006D6BB2">
      <w:pPr>
        <w:pStyle w:val="ESBodyText"/>
      </w:pPr>
    </w:p>
    <w:p w:rsidR="00E346A0" w:rsidRPr="00DE50B0" w:rsidP="0055455C">
      <w:pPr>
        <w:pStyle w:val="ESBodyText"/>
        <w:spacing w:after="0" w:line="240" w:lineRule="auto"/>
      </w:pPr>
      <w:r w:rsidRPr="00DE50B0">
        <w:rPr>
          <w:noProof/>
        </w:rPr>
        <w:drawing>
          <wp:anchor distT="0" distB="0" distL="114300" distR="114300" simplePos="0" relativeHeight="251666432" behindDoc="0" locked="0" layoutInCell="1" allowOverlap="1">
            <wp:simplePos x="0" y="0"/>
            <wp:positionH relativeFrom="column">
              <wp:posOffset>3303270</wp:posOffset>
            </wp:positionH>
            <wp:positionV relativeFrom="paragraph">
              <wp:posOffset>3175</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gridCol w:w="108"/>
      </w:tblGrid>
      <w:tr w:rsidTr="00AF4F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RPr="00DE50B0" w:rsidP="00BA1967">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Mathematics</w:t>
            </w:r>
          </w:p>
          <w:p w:rsidR="00E346A0" w:rsidRPr="00DE50B0" w:rsidP="00BA1967">
            <w:pPr>
              <w:pStyle w:val="ESBodyText"/>
              <w:rPr>
                <w:color w:val="1F1646"/>
              </w:rPr>
            </w:pPr>
            <w:r w:rsidRPr="00DE50B0">
              <w:rPr>
                <w:rFonts w:eastAsia="Times New Roman"/>
                <w:b/>
                <w:bCs/>
                <w:color w:val="1F1646"/>
                <w:lang w:val="en-AU" w:eastAsia="en-AU"/>
              </w:rPr>
              <w:t>Years Prep to 6</w:t>
            </w:r>
          </w:p>
        </w:tc>
        <w:tc>
          <w:tcPr>
            <w:tcW w:w="1247" w:type="dxa"/>
            <w:gridSpan w:val="2"/>
            <w:vAlign w:val="bottom"/>
          </w:tcPr>
          <w:p w:rsidR="00E346A0" w:rsidRPr="00DE50B0" w:rsidP="00BA1967">
            <w:pPr>
              <w:pStyle w:val="ESBodyText"/>
              <w:jc w:val="center"/>
              <w:rPr>
                <w:b/>
                <w:bCs/>
                <w:color w:val="1F1646"/>
              </w:rPr>
            </w:pPr>
            <w:r w:rsidRPr="00DE50B0">
              <w:rPr>
                <w:color w:val="1F1646"/>
              </w:rPr>
              <w:t>Latest year (</w:t>
            </w:r>
            <w:r w:rsidRPr="00DE50B0" w:rsidR="00AF4F1C">
              <w:rPr>
                <w:color w:val="1F1646"/>
              </w:rPr>
              <w:t>2024</w:t>
            </w:r>
            <w:r w:rsidRPr="00DE50B0">
              <w:rPr>
                <w:color w:val="1F1646"/>
              </w:rPr>
              <w:t>)</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School percent</w:t>
            </w:r>
            <w:r w:rsidRPr="00DE50B0" w:rsidR="008A558E">
              <w:rPr>
                <w:color w:val="1F1646"/>
              </w:rPr>
              <w:t>age</w:t>
            </w:r>
            <w:r w:rsidRPr="00DE50B0">
              <w:rPr>
                <w:color w:val="1F1646"/>
              </w:rPr>
              <w:t xml:space="preserve"> of students at or above age expected standards:</w:t>
            </w:r>
          </w:p>
        </w:tc>
        <w:tc>
          <w:tcPr>
            <w:tcW w:w="1139" w:type="dxa"/>
            <w:tcBorders>
              <w:bottom w:val="single" w:sz="4" w:space="0" w:color="FFFFFF" w:themeColor="background1"/>
            </w:tcBorders>
            <w:shd w:val="clear" w:color="auto" w:fill="D40032"/>
            <w:tcMar>
              <w:top w:w="57" w:type="dxa"/>
            </w:tcMar>
            <w:vAlign w:val="center"/>
          </w:tcPr>
          <w:p w:rsidR="00E346A0" w:rsidRPr="00DE50B0" w:rsidP="00BA1967">
            <w:pPr>
              <w:pStyle w:val="ESBodyText"/>
              <w:jc w:val="center"/>
              <w:rPr>
                <w:color w:val="FFFFFF"/>
              </w:rPr>
            </w:pPr>
            <w:r>
              <w:rPr>
                <w:color w:val="FFFFFF"/>
              </w:rPr>
              <w:t>74.4%</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Similar Schools average:</w:t>
            </w:r>
          </w:p>
        </w:tc>
        <w:tc>
          <w:tcPr>
            <w:tcW w:w="1139" w:type="dxa"/>
            <w:tcBorders>
              <w:top w:val="single" w:sz="4" w:space="0" w:color="FFFFFF" w:themeColor="background1"/>
              <w:bottom w:val="single" w:sz="4" w:space="0" w:color="FFFFFF" w:themeColor="background1"/>
            </w:tcBorders>
            <w:shd w:val="clear" w:color="auto" w:fill="88DBDF"/>
            <w:tcMar>
              <w:top w:w="57" w:type="dxa"/>
            </w:tcMar>
            <w:vAlign w:val="center"/>
          </w:tcPr>
          <w:p w:rsidR="00E346A0" w:rsidRPr="00DE50B0" w:rsidP="00BA1967">
            <w:pPr>
              <w:pStyle w:val="ESBodyText"/>
              <w:jc w:val="center"/>
              <w:rPr>
                <w:color w:val="1F1646"/>
              </w:rPr>
            </w:pPr>
            <w:r>
              <w:rPr>
                <w:color w:val="1F1646"/>
              </w:rPr>
              <w:t>87.2%</w:t>
            </w:r>
          </w:p>
        </w:tc>
      </w:tr>
      <w:tr w:rsidTr="00AF4F1C">
        <w:tblPrEx>
          <w:tblW w:w="0" w:type="auto"/>
          <w:tblLook w:val="04A0"/>
        </w:tblPrEx>
        <w:trPr>
          <w:gridAfter w:val="1"/>
          <w:wAfter w:w="108" w:type="dxa"/>
          <w:trHeight w:hRule="exact" w:val="567"/>
        </w:trPr>
        <w:tc>
          <w:tcPr>
            <w:tcW w:w="3681" w:type="dxa"/>
            <w:tcMar>
              <w:top w:w="57" w:type="dxa"/>
            </w:tcMar>
            <w:vAlign w:val="center"/>
          </w:tcPr>
          <w:p w:rsidR="00E346A0" w:rsidRPr="00DE50B0" w:rsidP="00BA1967">
            <w:pPr>
              <w:pStyle w:val="ESBodyText"/>
              <w:rPr>
                <w:color w:val="1F1646"/>
              </w:rPr>
            </w:pPr>
            <w:r w:rsidRPr="00DE50B0">
              <w:rPr>
                <w:color w:val="1F1646"/>
              </w:rPr>
              <w:t>State average:</w:t>
            </w:r>
          </w:p>
        </w:tc>
        <w:tc>
          <w:tcPr>
            <w:tcW w:w="1139" w:type="dxa"/>
            <w:tcBorders>
              <w:top w:val="single" w:sz="4" w:space="0" w:color="FFFFFF" w:themeColor="background1"/>
            </w:tcBorders>
            <w:shd w:val="clear" w:color="auto" w:fill="1F1646"/>
            <w:tcMar>
              <w:top w:w="57" w:type="dxa"/>
            </w:tcMar>
            <w:vAlign w:val="center"/>
          </w:tcPr>
          <w:p w:rsidR="00E346A0" w:rsidRPr="00DE50B0" w:rsidP="00BA1967">
            <w:pPr>
              <w:pStyle w:val="ESBodyText"/>
              <w:jc w:val="center"/>
              <w:rPr>
                <w:color w:val="FFFFFF"/>
              </w:rPr>
            </w:pPr>
            <w:r>
              <w:rPr>
                <w:color w:val="FFFFFF"/>
              </w:rPr>
              <w:t>85.9%</w:t>
            </w:r>
          </w:p>
        </w:tc>
      </w:tr>
    </w:tbl>
    <w:p w:rsidR="00E346A0" w:rsidRPr="00DE50B0" w:rsidP="006D6BB2">
      <w:pPr>
        <w:pStyle w:val="ESBodyText"/>
      </w:pPr>
    </w:p>
    <w:p w:rsidR="00E346A0" w:rsidRPr="00DE50B0" w:rsidP="006D6BB2">
      <w:pPr>
        <w:pStyle w:val="ESBodyText"/>
      </w:pPr>
    </w:p>
    <w:p w:rsidR="0060208A" w:rsidRPr="00DE50B0" w:rsidP="003D641B">
      <w:pPr>
        <w:pStyle w:val="Normal0"/>
        <w:spacing w:after="0" w:line="240" w:lineRule="auto"/>
        <w:rPr>
          <w:b/>
          <w:iCs/>
          <w:color w:val="D40032"/>
          <w:sz w:val="24"/>
          <w:szCs w:val="24"/>
        </w:rPr>
      </w:pPr>
      <w:r w:rsidRPr="00DE50B0">
        <w:br w:type="page"/>
      </w:r>
      <w:r w:rsidR="003D641B">
        <w:rPr>
          <w:b/>
          <w:iCs/>
          <w:color w:val="D40032"/>
          <w:sz w:val="24"/>
          <w:szCs w:val="24"/>
        </w:rPr>
        <w:t>LE</w:t>
      </w:r>
      <w:r w:rsidRPr="00DE50B0">
        <w:rPr>
          <w:b/>
          <w:iCs/>
          <w:color w:val="D40032"/>
          <w:sz w:val="24"/>
          <w:szCs w:val="24"/>
        </w:rPr>
        <w:t>ARNING (continued)</w:t>
      </w:r>
    </w:p>
    <w:p w:rsidR="00693B34" w:rsidRPr="00DE50B0" w:rsidP="00693B34">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693B34" w:rsidRPr="00DE50B0" w:rsidP="00693B34">
      <w:pPr>
        <w:pStyle w:val="ESHeading3"/>
        <w:rPr>
          <w:color w:val="1F1646"/>
        </w:rPr>
      </w:pPr>
      <w:r w:rsidRPr="00DE50B0">
        <w:rPr>
          <w:color w:val="1F1646"/>
        </w:rPr>
        <w:t>NAPLAN</w:t>
      </w:r>
    </w:p>
    <w:p w:rsidR="00410C77" w:rsidRPr="00DE50B0" w:rsidP="00410C77">
      <w:pPr>
        <w:pStyle w:val="ESBodyText"/>
        <w:rPr>
          <w:noProof/>
        </w:rPr>
      </w:pPr>
      <w:r w:rsidRPr="00DE50B0">
        <w:t>Percentage of students in the Strong or Exceeding proficiency levels in NAPLAN.</w:t>
      </w:r>
      <w:r w:rsidRPr="00DE50B0">
        <w:rPr>
          <w:noProof/>
        </w:rPr>
        <w:t xml:space="preserve"> </w:t>
      </w:r>
    </w:p>
    <w:p w:rsidR="00AD2752" w:rsidRPr="00DE50B0" w:rsidP="00410C77">
      <w:pPr>
        <w:pStyle w:val="ESBodyText"/>
      </w:pPr>
      <w:r w:rsidRPr="00DE50B0">
        <w:t>Note: The NAPLAN test was revised in 2023. As a result, a 2-year average has been provided for 2024.</w:t>
      </w: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190C2E" w:rsidRPr="00DE50B0" w:rsidP="00190C2E">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190C2E" w:rsidRPr="00DE50B0" w:rsidP="00190C2E">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190C2E" w:rsidRPr="003D641B" w:rsidP="00190C2E">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190C2E" w:rsidRPr="003D641B" w:rsidP="00190C2E">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73.9%</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72.3%</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73.1%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72.7%</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68.7%</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69.2%</w:t>
            </w:r>
          </w:p>
        </w:tc>
      </w:tr>
    </w:tbl>
    <w:p w:rsidR="00693B34" w:rsidP="00693B34">
      <w:pPr>
        <w:pStyle w:val="Normal0"/>
        <w:spacing w:after="0" w:line="240" w:lineRule="auto"/>
        <w:rPr>
          <w:rFonts w:eastAsia="Times New Roman"/>
          <w:b/>
          <w:bCs/>
          <w:color w:val="000000"/>
          <w:lang w:val="en-AU" w:eastAsia="en-AU"/>
        </w:rPr>
      </w:pPr>
    </w:p>
    <w:p w:rsidR="003F0CD8"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p>
    <w:p w:rsidR="00693B34" w:rsidRPr="00DE50B0" w:rsidP="00693B34">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5715</wp:posOffset>
            </wp:positionV>
            <wp:extent cx="3477600" cy="1951200"/>
            <wp:effectExtent l="0" t="0" r="88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70.8%</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70.9%</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74.1%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77.0%</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73.0%</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75.0%</w:t>
            </w:r>
          </w:p>
        </w:tc>
      </w:tr>
    </w:tbl>
    <w:p w:rsidR="00693B34" w:rsidP="00693B34">
      <w:pPr>
        <w:pStyle w:val="Normal0"/>
        <w:spacing w:after="0" w:line="240" w:lineRule="auto"/>
        <w:rPr>
          <w:rFonts w:eastAsia="Arial"/>
          <w:color w:val="000000"/>
          <w:szCs w:val="20"/>
        </w:rPr>
      </w:pPr>
    </w:p>
    <w:p w:rsidR="003F0CD8" w:rsidRPr="00DE50B0" w:rsidP="00693B34">
      <w:pPr>
        <w:pStyle w:val="Normal0"/>
        <w:spacing w:after="0" w:line="240" w:lineRule="auto"/>
        <w:rPr>
          <w:rFonts w:eastAsia="Arial"/>
          <w:color w:val="000000"/>
          <w:szCs w:val="20"/>
        </w:rPr>
      </w:pPr>
    </w:p>
    <w:p w:rsidR="00693B34" w:rsidRPr="00DE50B0" w:rsidP="00693B34">
      <w:pPr>
        <w:pStyle w:val="ESBodyText"/>
        <w:spacing w:after="0" w:line="240" w:lineRule="auto"/>
        <w:rPr>
          <w:rFonts w:eastAsia="Arial"/>
          <w:color w:val="000000"/>
          <w:szCs w:val="20"/>
        </w:rPr>
      </w:pPr>
      <w:r w:rsidRPr="00DE50B0">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3477600" cy="1951200"/>
            <wp:effectExtent l="0" t="0" r="889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4E67EF" w:rsidRPr="00DE50B0" w:rsidP="004E67EF">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4E67EF" w:rsidRPr="00DE50B0" w:rsidP="004E67EF">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4E67EF" w:rsidRPr="003D641B" w:rsidP="004E67EF">
            <w:pPr>
              <w:pStyle w:val="ESBodyText"/>
              <w:spacing w:line="240" w:lineRule="auto"/>
              <w:jc w:val="center"/>
              <w:rPr>
                <w:color w:val="1F1646"/>
              </w:rPr>
            </w:pPr>
            <w:r w:rsidRPr="003D641B">
              <w:rPr>
                <w:color w:val="1F1646"/>
              </w:rPr>
              <w:t>Latest year (</w:t>
            </w:r>
            <w:r w:rsidRPr="003D641B" w:rsidR="00B412F4">
              <w:rPr>
                <w:color w:val="1F1646"/>
              </w:rPr>
              <w:t>2024</w:t>
            </w:r>
            <w:r w:rsidRPr="003D641B">
              <w:rPr>
                <w:color w:val="1F1646"/>
              </w:rPr>
              <w:t>)</w:t>
            </w:r>
          </w:p>
        </w:tc>
        <w:tc>
          <w:tcPr>
            <w:tcW w:w="1131" w:type="dxa"/>
            <w:gridSpan w:val="2"/>
            <w:vAlign w:val="bottom"/>
          </w:tcPr>
          <w:p w:rsidR="004E67EF" w:rsidRPr="003D641B" w:rsidP="004E67EF">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7F5E9D" w:rsidRPr="003D641B" w:rsidP="007F5E9D">
            <w:pPr>
              <w:pStyle w:val="ESBodyText"/>
              <w:spacing w:line="240" w:lineRule="auto"/>
              <w:jc w:val="center"/>
              <w:rPr>
                <w:color w:val="FFFFFF"/>
              </w:rPr>
            </w:pPr>
            <w:r>
              <w:rPr>
                <w:color w:val="FFFFFF"/>
              </w:rPr>
              <w:t>72.7%</w:t>
            </w:r>
          </w:p>
        </w:tc>
        <w:tc>
          <w:tcPr>
            <w:tcW w:w="1140" w:type="dxa"/>
            <w:gridSpan w:val="2"/>
            <w:tcBorders>
              <w:bottom w:val="single" w:sz="4" w:space="0" w:color="FFFFFF" w:themeColor="background1"/>
            </w:tcBorders>
            <w:shd w:val="clear" w:color="auto" w:fill="D40032"/>
            <w:vAlign w:val="center"/>
          </w:tcPr>
          <w:p w:rsidR="007F5E9D" w:rsidRPr="003D641B" w:rsidP="007F5E9D">
            <w:pPr>
              <w:pStyle w:val="ESBodyText"/>
              <w:spacing w:line="240" w:lineRule="auto"/>
              <w:jc w:val="center"/>
              <w:rPr>
                <w:color w:val="FFFFFF"/>
              </w:rPr>
            </w:pPr>
            <w:r>
              <w:rPr>
                <w:color w:val="FFFFFF"/>
              </w:rPr>
              <w:t>65.2%</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7F5E9D" w:rsidRPr="003D641B" w:rsidP="007F5E9D">
            <w:pPr>
              <w:pStyle w:val="ESBodyText"/>
              <w:spacing w:line="240" w:lineRule="auto"/>
              <w:jc w:val="center"/>
              <w:rPr>
                <w:color w:val="1F1646"/>
              </w:rPr>
            </w:pPr>
            <w:r>
              <w:rPr>
                <w:color w:val="1F1646"/>
              </w:rPr>
              <w:t>66.5%</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7F5E9D" w:rsidRPr="003D641B" w:rsidP="007F5E9D">
            <w:pPr>
              <w:pStyle w:val="ESBodyText"/>
              <w:spacing w:line="240" w:lineRule="auto"/>
              <w:jc w:val="center"/>
              <w:rPr>
                <w:color w:val="1F1646"/>
              </w:rPr>
            </w:pPr>
            <w:r>
              <w:rPr>
                <w:color w:val="1F1646"/>
              </w:rPr>
              <w:t>67.2%</w:t>
            </w:r>
          </w:p>
        </w:tc>
      </w:tr>
      <w:tr w:rsidTr="00A00971">
        <w:tblPrEx>
          <w:tblW w:w="0" w:type="auto"/>
          <w:tblLook w:val="04A0"/>
        </w:tblPrEx>
        <w:trPr>
          <w:trHeight w:hRule="exact" w:val="567"/>
        </w:trPr>
        <w:tc>
          <w:tcPr>
            <w:tcW w:w="2835" w:type="dxa"/>
            <w:tcMar>
              <w:top w:w="57" w:type="dxa"/>
            </w:tcMar>
            <w:vAlign w:val="center"/>
          </w:tcPr>
          <w:p w:rsidR="007F5E9D" w:rsidRPr="00DE50B0" w:rsidP="007F5E9D">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7F5E9D" w:rsidRPr="003D641B" w:rsidP="007F5E9D">
            <w:pPr>
              <w:pStyle w:val="ESBodyText"/>
              <w:spacing w:line="240" w:lineRule="auto"/>
              <w:jc w:val="center"/>
              <w:rPr>
                <w:color w:val="FFFFFF"/>
              </w:rPr>
            </w:pPr>
            <w:r>
              <w:rPr>
                <w:color w:val="FFFFFF"/>
              </w:rPr>
              <w:t>65.5%</w:t>
            </w:r>
          </w:p>
        </w:tc>
        <w:tc>
          <w:tcPr>
            <w:tcW w:w="1140" w:type="dxa"/>
            <w:gridSpan w:val="2"/>
            <w:tcBorders>
              <w:top w:val="single" w:sz="4" w:space="0" w:color="FFFFFF" w:themeColor="background1"/>
            </w:tcBorders>
            <w:shd w:val="clear" w:color="auto" w:fill="1F1646"/>
            <w:vAlign w:val="center"/>
          </w:tcPr>
          <w:p w:rsidR="007F5E9D" w:rsidRPr="003D641B" w:rsidP="007F5E9D">
            <w:pPr>
              <w:pStyle w:val="ESBodyText"/>
              <w:spacing w:line="240" w:lineRule="auto"/>
              <w:jc w:val="center"/>
              <w:rPr>
                <w:color w:val="FFFFFF"/>
              </w:rPr>
            </w:pPr>
            <w:r>
              <w:rPr>
                <w:color w:val="FFFFFF"/>
              </w:rPr>
              <w:t>66.4%</w:t>
            </w:r>
          </w:p>
        </w:tc>
      </w:tr>
    </w:tbl>
    <w:p w:rsidR="003F0CD8" w:rsidP="00693B34">
      <w:pPr>
        <w:pStyle w:val="ESHeading3"/>
        <w:spacing w:before="0"/>
      </w:pPr>
    </w:p>
    <w:p w:rsidR="00693B34" w:rsidRPr="00DE50B0" w:rsidP="00693B34">
      <w:pPr>
        <w:pStyle w:val="ESHeading3"/>
        <w:spacing w:before="0"/>
      </w:pPr>
      <w:r w:rsidRPr="00DE50B0">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20955</wp:posOffset>
            </wp:positionV>
            <wp:extent cx="3477600" cy="1951200"/>
            <wp:effectExtent l="0" t="0" r="889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2"/>
        <w:gridCol w:w="18"/>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8" w:type="dxa"/>
        </w:trPr>
        <w:tc>
          <w:tcPr>
            <w:tcW w:w="2835" w:type="dxa"/>
            <w:vAlign w:val="bottom"/>
          </w:tcPr>
          <w:p w:rsidR="00027465" w:rsidRPr="00DE50B0" w:rsidP="00027465">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027465" w:rsidRPr="00DE50B0" w:rsidP="00027465">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027465" w:rsidRPr="003D641B" w:rsidP="00027465">
            <w:pPr>
              <w:pStyle w:val="ESBodyText"/>
              <w:spacing w:line="240" w:lineRule="auto"/>
              <w:jc w:val="center"/>
              <w:rPr>
                <w:color w:val="1F1646"/>
              </w:rPr>
            </w:pPr>
            <w:r w:rsidRPr="003D641B">
              <w:rPr>
                <w:color w:val="1F1646"/>
              </w:rPr>
              <w:t>Latest year (</w:t>
            </w:r>
            <w:r w:rsidRPr="003D641B" w:rsidR="00A87405">
              <w:rPr>
                <w:color w:val="1F1646"/>
              </w:rPr>
              <w:t>2024</w:t>
            </w:r>
            <w:r w:rsidRPr="003D641B">
              <w:rPr>
                <w:color w:val="1F1646"/>
              </w:rPr>
              <w:t>)</w:t>
            </w:r>
          </w:p>
        </w:tc>
        <w:tc>
          <w:tcPr>
            <w:tcW w:w="1131" w:type="dxa"/>
            <w:gridSpan w:val="2"/>
            <w:vAlign w:val="bottom"/>
          </w:tcPr>
          <w:p w:rsidR="00027465" w:rsidRPr="003D641B" w:rsidP="00027465">
            <w:pPr>
              <w:pStyle w:val="ESBodyText"/>
              <w:spacing w:line="240" w:lineRule="auto"/>
              <w:jc w:val="center"/>
              <w:rPr>
                <w:color w:val="1F1646"/>
              </w:rPr>
            </w:pPr>
            <w:r w:rsidRPr="003D641B">
              <w:rPr>
                <w:color w:val="1F1646"/>
              </w:rPr>
              <w:t>2</w:t>
            </w:r>
            <w:r w:rsidRPr="003D641B">
              <w:rPr>
                <w:color w:val="1F1646"/>
              </w:rPr>
              <w:t>-year average</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School percentage of students in Strong or Exceeding:</w:t>
            </w:r>
          </w:p>
        </w:tc>
        <w:tc>
          <w:tcPr>
            <w:tcW w:w="1140" w:type="dxa"/>
            <w:gridSpan w:val="2"/>
            <w:tcBorders>
              <w:bottom w:val="single" w:sz="4" w:space="0" w:color="FFFFFF" w:themeColor="background1"/>
            </w:tcBorders>
            <w:shd w:val="clear" w:color="auto" w:fill="D40032"/>
            <w:tcMar>
              <w:top w:w="57" w:type="dxa"/>
            </w:tcMar>
            <w:vAlign w:val="center"/>
          </w:tcPr>
          <w:p w:rsidR="00A87405" w:rsidRPr="003D641B" w:rsidP="00A87405">
            <w:pPr>
              <w:pStyle w:val="ESBodyText"/>
              <w:spacing w:line="240" w:lineRule="auto"/>
              <w:jc w:val="center"/>
              <w:rPr>
                <w:color w:val="FFFFFF"/>
              </w:rPr>
            </w:pPr>
            <w:r>
              <w:rPr>
                <w:color w:val="FFFFFF"/>
              </w:rPr>
              <w:t>64.0%</w:t>
            </w:r>
          </w:p>
        </w:tc>
        <w:tc>
          <w:tcPr>
            <w:tcW w:w="1140" w:type="dxa"/>
            <w:gridSpan w:val="2"/>
            <w:tcBorders>
              <w:bottom w:val="single" w:sz="4" w:space="0" w:color="FFFFFF" w:themeColor="background1"/>
            </w:tcBorders>
            <w:shd w:val="clear" w:color="auto" w:fill="D40032"/>
            <w:vAlign w:val="center"/>
          </w:tcPr>
          <w:p w:rsidR="00A87405" w:rsidRPr="003D641B" w:rsidP="00A87405">
            <w:pPr>
              <w:pStyle w:val="ESBodyText"/>
              <w:spacing w:line="240" w:lineRule="auto"/>
              <w:jc w:val="center"/>
              <w:rPr>
                <w:color w:val="FFFFFF"/>
              </w:rPr>
            </w:pPr>
            <w:r>
              <w:rPr>
                <w:color w:val="FFFFFF"/>
              </w:rPr>
              <w:t>64.9%</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A87405" w:rsidRPr="003D641B" w:rsidP="00A87405">
            <w:pPr>
              <w:pStyle w:val="ESBodyText"/>
              <w:spacing w:line="240" w:lineRule="auto"/>
              <w:jc w:val="center"/>
              <w:rPr>
                <w:color w:val="1F1646"/>
              </w:rPr>
            </w:pPr>
            <w:r>
              <w:rPr>
                <w:color w:val="1F1646"/>
              </w:rPr>
              <w:t>67.1%</w:t>
            </w:r>
          </w:p>
        </w:tc>
        <w:tc>
          <w:tcPr>
            <w:tcW w:w="1140" w:type="dxa"/>
            <w:gridSpan w:val="2"/>
            <w:tcBorders>
              <w:top w:val="single" w:sz="4" w:space="0" w:color="FFFFFF" w:themeColor="background1"/>
              <w:bottom w:val="single" w:sz="4" w:space="0" w:color="FFFFFF" w:themeColor="background1"/>
            </w:tcBorders>
            <w:shd w:val="clear" w:color="auto" w:fill="88DBDF"/>
            <w:vAlign w:val="center"/>
          </w:tcPr>
          <w:p w:rsidR="00A87405" w:rsidRPr="003D641B" w:rsidP="00A87405">
            <w:pPr>
              <w:pStyle w:val="ESBodyText"/>
              <w:spacing w:line="240" w:lineRule="auto"/>
              <w:jc w:val="center"/>
              <w:rPr>
                <w:color w:val="1F1646"/>
              </w:rPr>
            </w:pPr>
            <w:r>
              <w:rPr>
                <w:color w:val="1F1646"/>
              </w:rPr>
              <w:t>69.4%</w:t>
            </w:r>
          </w:p>
        </w:tc>
      </w:tr>
      <w:tr w:rsidTr="00A00971">
        <w:tblPrEx>
          <w:tblW w:w="0" w:type="auto"/>
          <w:tblLook w:val="04A0"/>
        </w:tblPrEx>
        <w:trPr>
          <w:trHeight w:hRule="exact" w:val="567"/>
        </w:trPr>
        <w:tc>
          <w:tcPr>
            <w:tcW w:w="2835" w:type="dxa"/>
            <w:tcMar>
              <w:top w:w="57" w:type="dxa"/>
            </w:tcMar>
            <w:vAlign w:val="center"/>
          </w:tcPr>
          <w:p w:rsidR="00A87405" w:rsidRPr="00DE50B0" w:rsidP="00A87405">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A87405" w:rsidRPr="003D641B" w:rsidP="00A87405">
            <w:pPr>
              <w:pStyle w:val="ESBodyText"/>
              <w:spacing w:line="240" w:lineRule="auto"/>
              <w:jc w:val="center"/>
              <w:rPr>
                <w:color w:val="FFFFFF"/>
              </w:rPr>
            </w:pPr>
            <w:r>
              <w:rPr>
                <w:color w:val="FFFFFF"/>
              </w:rPr>
              <w:t>67.3%</w:t>
            </w:r>
          </w:p>
        </w:tc>
        <w:tc>
          <w:tcPr>
            <w:tcW w:w="1140" w:type="dxa"/>
            <w:gridSpan w:val="2"/>
            <w:tcBorders>
              <w:top w:val="single" w:sz="4" w:space="0" w:color="FFFFFF" w:themeColor="background1"/>
            </w:tcBorders>
            <w:shd w:val="clear" w:color="auto" w:fill="1F1646"/>
            <w:vAlign w:val="center"/>
          </w:tcPr>
          <w:p w:rsidR="00A87405" w:rsidRPr="003D641B" w:rsidP="00A87405">
            <w:pPr>
              <w:pStyle w:val="ESBodyText"/>
              <w:spacing w:line="240" w:lineRule="auto"/>
              <w:jc w:val="center"/>
              <w:rPr>
                <w:color w:val="FFFFFF"/>
              </w:rPr>
            </w:pPr>
            <w:r>
              <w:rPr>
                <w:color w:val="FFFFFF"/>
              </w:rPr>
              <w:t>67.6%</w:t>
            </w:r>
          </w:p>
        </w:tc>
      </w:tr>
    </w:tbl>
    <w:p w:rsidR="00693B34" w:rsidRPr="00DE50B0" w:rsidP="00693B34">
      <w:pPr>
        <w:pStyle w:val="ESHeading3"/>
        <w:spacing w:before="0"/>
      </w:pPr>
    </w:p>
    <w:p w:rsidR="003D641B">
      <w:pPr>
        <w:pStyle w:val="Normal0"/>
        <w:spacing w:after="0" w:line="240" w:lineRule="auto"/>
        <w:rPr>
          <w:b/>
          <w:iCs/>
          <w:color w:val="D40032"/>
          <w:sz w:val="24"/>
          <w:szCs w:val="24"/>
        </w:rPr>
      </w:pPr>
      <w:r>
        <w:rPr>
          <w:b/>
          <w:iCs/>
          <w:color w:val="D40032"/>
          <w:sz w:val="24"/>
          <w:szCs w:val="24"/>
        </w:rPr>
        <w:br w:type="page"/>
      </w:r>
    </w:p>
    <w:p w:rsidR="0060208A" w:rsidRPr="00DE50B0" w:rsidP="00F93DBD">
      <w:pPr>
        <w:pStyle w:val="ESBodyText"/>
        <w:spacing w:before="240" w:line="240" w:lineRule="auto"/>
        <w:ind w:left="567" w:hanging="567"/>
        <w:rPr>
          <w:b/>
          <w:iCs/>
          <w:color w:val="D40032"/>
          <w:sz w:val="24"/>
          <w:szCs w:val="24"/>
        </w:rPr>
      </w:pPr>
      <w:r w:rsidRPr="00DE50B0">
        <w:rPr>
          <w:b/>
          <w:iCs/>
          <w:color w:val="D40032"/>
          <w:sz w:val="24"/>
          <w:szCs w:val="24"/>
        </w:rPr>
        <w:t>LEARNING (continued)</w:t>
      </w:r>
    </w:p>
    <w:p w:rsidR="00F93DBD" w:rsidRPr="00DE50B0" w:rsidP="00F93DBD">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F93DBD" w:rsidRPr="00DE50B0" w:rsidP="00F93DBD">
      <w:pPr>
        <w:pStyle w:val="ESHeading3"/>
        <w:rPr>
          <w:color w:val="1F1646"/>
        </w:rPr>
      </w:pPr>
      <w:r w:rsidRPr="00DE50B0">
        <w:rPr>
          <w:color w:val="1F1646"/>
        </w:rPr>
        <w:t>NAPLAN 2022</w:t>
      </w:r>
    </w:p>
    <w:p w:rsidR="00F93DBD" w:rsidRPr="00DE50B0" w:rsidP="00F93DBD">
      <w:pPr>
        <w:pStyle w:val="ESBodyText"/>
      </w:pPr>
      <w:r w:rsidRPr="00DE50B0">
        <w:t>Percentage of students in the top three bands of testing in NAPLAN.</w:t>
      </w:r>
      <w:r w:rsidRPr="00DE50B0">
        <w:rPr>
          <w:noProof/>
        </w:rPr>
        <w:t xml:space="preserve"> </w:t>
      </w: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2576" behindDoc="0" locked="0" layoutInCell="1" allowOverlap="1">
            <wp:simplePos x="0" y="0"/>
            <wp:positionH relativeFrom="margin">
              <wp:align>right</wp:align>
            </wp:positionH>
            <wp:positionV relativeFrom="paragraph">
              <wp:posOffset>13335</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73.9%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82.1%</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76.6%</w:t>
            </w:r>
          </w:p>
        </w:tc>
      </w:tr>
    </w:tbl>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p>
    <w:p w:rsidR="00F93DBD" w:rsidRPr="00DE50B0" w:rsidP="00F93DBD">
      <w:pPr>
        <w:pStyle w:val="Normal0"/>
        <w:spacing w:after="0" w:line="240" w:lineRule="auto"/>
        <w:rPr>
          <w:rFonts w:eastAsia="Times New Roman"/>
          <w:b/>
          <w:bCs/>
          <w:color w:val="000000"/>
          <w:lang w:val="en-AU" w:eastAsia="en-AU"/>
        </w:rPr>
      </w:pPr>
      <w:r w:rsidRPr="00DE50B0">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3477600" cy="1951200"/>
            <wp:effectExtent l="0" t="0" r="889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Reading</w:t>
            </w:r>
          </w:p>
          <w:p w:rsidR="00357B97" w:rsidRPr="00DE50B0">
            <w:pPr>
              <w:pStyle w:val="ESBodyText"/>
              <w:spacing w:line="240" w:lineRule="auto"/>
              <w:rPr>
                <w:b/>
                <w:bCs/>
                <w:color w:val="1F1646"/>
              </w:rPr>
            </w:pPr>
            <w:r w:rsidRPr="00DE50B0">
              <w:rPr>
                <w:rFonts w:eastAsia="Times New Roman"/>
                <w:b/>
                <w:bCs/>
                <w:color w:val="1F1646"/>
                <w:lang w:val="en-AU" w:eastAsia="en-AU"/>
              </w:rPr>
              <w:t>Year 5</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57.9%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73.5%</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70.2%</w:t>
            </w:r>
          </w:p>
        </w:tc>
      </w:tr>
    </w:tbl>
    <w:p w:rsidR="00F93DBD" w:rsidRPr="00DE50B0" w:rsidP="00F93DBD">
      <w:pPr>
        <w:pStyle w:val="Normal0"/>
        <w:spacing w:after="0" w:line="240" w:lineRule="auto"/>
        <w:rPr>
          <w:rFonts w:eastAsia="Arial"/>
          <w:color w:val="000000"/>
          <w:szCs w:val="20"/>
        </w:rPr>
      </w:pPr>
    </w:p>
    <w:p w:rsidR="00F93DBD" w:rsidRPr="00DE50B0" w:rsidP="00F93DBD">
      <w:pPr>
        <w:pStyle w:val="ESBodyText"/>
        <w:spacing w:after="0" w:line="240" w:lineRule="auto"/>
        <w:rPr>
          <w:rFonts w:eastAsia="Arial"/>
          <w:color w:val="000000"/>
          <w:szCs w:val="20"/>
        </w:rPr>
      </w:pPr>
    </w:p>
    <w:p w:rsidR="00F93DBD" w:rsidRPr="00DE50B0" w:rsidP="00F93DBD">
      <w:pPr>
        <w:pStyle w:val="ESHeading3"/>
        <w:spacing w:before="0"/>
      </w:pPr>
      <w:r w:rsidRPr="00DE50B0">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36195</wp:posOffset>
            </wp:positionV>
            <wp:extent cx="3476625" cy="1951200"/>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Numeracy</w:t>
            </w:r>
          </w:p>
          <w:p w:rsidR="00357B97" w:rsidRPr="00DE50B0">
            <w:pPr>
              <w:pStyle w:val="ESBodyText"/>
              <w:spacing w:line="240" w:lineRule="auto"/>
              <w:rPr>
                <w:b/>
                <w:bCs/>
                <w:color w:val="1F1646"/>
              </w:rPr>
            </w:pPr>
            <w:r w:rsidRPr="00DE50B0">
              <w:rPr>
                <w:rFonts w:eastAsia="Times New Roman"/>
                <w:b/>
                <w:bCs/>
                <w:color w:val="1F1646"/>
                <w:lang w:val="en-AU" w:eastAsia="en-AU"/>
              </w:rPr>
              <w:t>Year 3</w:t>
            </w:r>
          </w:p>
        </w:tc>
        <w:tc>
          <w:tcPr>
            <w:tcW w:w="1131" w:type="dxa"/>
            <w:vAlign w:val="bottom"/>
          </w:tcPr>
          <w:p w:rsidR="00357B97" w:rsidRPr="000A65DD">
            <w:pPr>
              <w:pStyle w:val="ESBodyText"/>
              <w:spacing w:line="240" w:lineRule="auto"/>
              <w:jc w:val="center"/>
              <w:rPr>
                <w:color w:val="1F1646"/>
              </w:rPr>
            </w:pPr>
            <w:r w:rsidRPr="000A65DD">
              <w:rPr>
                <w:color w:val="1F1646"/>
              </w:rPr>
              <w:t xml:space="preserve"> (</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60.9%</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65.8%</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64.0%</w:t>
            </w:r>
          </w:p>
        </w:tc>
      </w:tr>
    </w:tbl>
    <w:p w:rsidR="00F93DBD" w:rsidRPr="00DE50B0" w:rsidP="00F93DBD">
      <w:pPr>
        <w:pStyle w:val="ESHeading3"/>
        <w:spacing w:before="0"/>
      </w:pPr>
    </w:p>
    <w:p w:rsidR="00F93DBD" w:rsidRPr="00DE50B0" w:rsidP="00F93DBD">
      <w:pPr>
        <w:pStyle w:val="ESHeading3"/>
        <w:spacing w:before="0"/>
      </w:pPr>
      <w:r w:rsidRPr="00DE50B0">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29845</wp:posOffset>
            </wp:positionV>
            <wp:extent cx="3476625" cy="19512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Pr>
        <w:tc>
          <w:tcPr>
            <w:tcW w:w="2835" w:type="dxa"/>
            <w:vAlign w:val="bottom"/>
          </w:tcPr>
          <w:p w:rsidR="00357B97" w:rsidRPr="00DE50B0">
            <w:pPr>
              <w:pStyle w:val="Normal0"/>
              <w:spacing w:after="0" w:line="240" w:lineRule="auto"/>
              <w:rPr>
                <w:rFonts w:eastAsia="Times New Roman"/>
                <w:b/>
                <w:bCs/>
                <w:color w:val="1F1646"/>
                <w:sz w:val="16"/>
                <w:szCs w:val="16"/>
                <w:lang w:val="en-AU" w:eastAsia="en-AU"/>
              </w:rPr>
            </w:pPr>
            <w:r w:rsidRPr="00DE50B0">
              <w:rPr>
                <w:rFonts w:eastAsia="Times New Roman"/>
                <w:b/>
                <w:bCs/>
                <w:color w:val="1F1646"/>
                <w:sz w:val="16"/>
                <w:szCs w:val="16"/>
                <w:lang w:val="en-AU" w:eastAsia="en-AU"/>
              </w:rPr>
              <w:t>Numeracy</w:t>
            </w:r>
          </w:p>
          <w:p w:rsidR="00357B97" w:rsidRPr="00DE50B0">
            <w:pPr>
              <w:pStyle w:val="ESBodyText"/>
              <w:spacing w:line="240" w:lineRule="auto"/>
              <w:rPr>
                <w:b/>
                <w:bCs/>
                <w:color w:val="1F1646"/>
                <w:sz w:val="16"/>
                <w:szCs w:val="16"/>
              </w:rPr>
            </w:pPr>
            <w:r w:rsidRPr="00DE50B0">
              <w:rPr>
                <w:rFonts w:eastAsia="Times New Roman"/>
                <w:b/>
                <w:bCs/>
                <w:color w:val="1F1646"/>
                <w:sz w:val="16"/>
                <w:szCs w:val="16"/>
                <w:lang w:val="en-AU" w:eastAsia="en-AU"/>
              </w:rPr>
              <w:t>Year 5</w:t>
            </w:r>
          </w:p>
        </w:tc>
        <w:tc>
          <w:tcPr>
            <w:tcW w:w="1131" w:type="dxa"/>
            <w:vAlign w:val="bottom"/>
          </w:tcPr>
          <w:p w:rsidR="00357B97" w:rsidRPr="000A65DD" w:rsidP="008711DB">
            <w:pPr>
              <w:pStyle w:val="ESBodyText"/>
              <w:spacing w:line="240" w:lineRule="auto"/>
              <w:jc w:val="center"/>
              <w:rPr>
                <w:color w:val="1F1646"/>
              </w:rPr>
            </w:pPr>
            <w:r w:rsidRPr="000A65DD">
              <w:rPr>
                <w:color w:val="1F1646"/>
              </w:rPr>
              <w:t>(</w:t>
            </w:r>
            <w:r w:rsidRPr="000A65DD" w:rsidR="00CD7EE1">
              <w:rPr>
                <w:color w:val="1F1646"/>
              </w:rPr>
              <w:t>2022</w:t>
            </w:r>
            <w:r w:rsidRPr="000A65DD">
              <w:rPr>
                <w:color w:val="1F1646"/>
              </w:rPr>
              <w:t>)</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School percentage of students in the top three bands:</w:t>
            </w:r>
          </w:p>
        </w:tc>
        <w:tc>
          <w:tcPr>
            <w:tcW w:w="1140" w:type="dxa"/>
            <w:gridSpan w:val="2"/>
            <w:tcBorders>
              <w:bottom w:val="single" w:sz="4" w:space="0" w:color="FFFFFF" w:themeColor="background1"/>
            </w:tcBorders>
            <w:shd w:val="clear" w:color="auto" w:fill="D40032"/>
            <w:tcMar>
              <w:top w:w="57" w:type="dxa"/>
            </w:tcMar>
            <w:vAlign w:val="center"/>
          </w:tcPr>
          <w:p w:rsidR="00357B97" w:rsidRPr="000A65DD">
            <w:pPr>
              <w:pStyle w:val="ESBodyText"/>
              <w:spacing w:line="240" w:lineRule="auto"/>
              <w:jc w:val="center"/>
              <w:rPr>
                <w:color w:val="FFFFFF"/>
              </w:rPr>
            </w:pPr>
            <w:r>
              <w:rPr>
                <w:color w:val="FFFFFF"/>
              </w:rPr>
              <w:t>64.7%</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357B97" w:rsidRPr="000A65DD">
            <w:pPr>
              <w:pStyle w:val="ESBodyText"/>
              <w:spacing w:line="240" w:lineRule="auto"/>
              <w:jc w:val="center"/>
              <w:rPr>
                <w:color w:val="1F1646"/>
              </w:rPr>
            </w:pPr>
            <w:r>
              <w:rPr>
                <w:color w:val="1F1646"/>
              </w:rPr>
              <w:t>54.8%</w:t>
            </w:r>
          </w:p>
        </w:tc>
      </w:tr>
      <w:tr w:rsidTr="00A00971">
        <w:tblPrEx>
          <w:tblW w:w="0" w:type="auto"/>
          <w:tblLook w:val="04A0"/>
        </w:tblPrEx>
        <w:trPr>
          <w:trHeight w:hRule="exact" w:val="567"/>
        </w:trPr>
        <w:tc>
          <w:tcPr>
            <w:tcW w:w="2835" w:type="dxa"/>
            <w:tcMar>
              <w:top w:w="57" w:type="dxa"/>
            </w:tcMar>
            <w:vAlign w:val="center"/>
          </w:tcPr>
          <w:p w:rsidR="00357B97" w:rsidRPr="00DE50B0">
            <w:pPr>
              <w:pStyle w:val="ESBodyText"/>
              <w:spacing w:line="240" w:lineRule="auto"/>
              <w:rPr>
                <w:color w:val="1F1646"/>
                <w:sz w:val="16"/>
                <w:szCs w:val="16"/>
              </w:rPr>
            </w:pPr>
            <w:r w:rsidRPr="00DE50B0">
              <w:rPr>
                <w:color w:val="1F1646"/>
                <w:sz w:val="16"/>
                <w:szCs w:val="16"/>
              </w:rPr>
              <w:t>State average:</w:t>
            </w:r>
          </w:p>
        </w:tc>
        <w:tc>
          <w:tcPr>
            <w:tcW w:w="1140" w:type="dxa"/>
            <w:gridSpan w:val="2"/>
            <w:tcBorders>
              <w:top w:val="single" w:sz="4" w:space="0" w:color="FFFFFF" w:themeColor="background1"/>
            </w:tcBorders>
            <w:shd w:val="clear" w:color="auto" w:fill="1F1646"/>
            <w:tcMar>
              <w:top w:w="57" w:type="dxa"/>
            </w:tcMar>
            <w:vAlign w:val="center"/>
          </w:tcPr>
          <w:p w:rsidR="00357B97" w:rsidRPr="000A65DD">
            <w:pPr>
              <w:pStyle w:val="ESBodyText"/>
              <w:spacing w:line="240" w:lineRule="auto"/>
              <w:jc w:val="center"/>
              <w:rPr>
                <w:color w:val="FFFFFF"/>
              </w:rPr>
            </w:pPr>
            <w:r>
              <w:rPr>
                <w:color w:val="FFFFFF"/>
              </w:rPr>
              <w:t>54.2%</w:t>
            </w:r>
          </w:p>
        </w:tc>
      </w:tr>
    </w:tbl>
    <w:p w:rsidR="00F93DBD" w:rsidRPr="00DE50B0" w:rsidP="00F93DBD">
      <w:pPr>
        <w:pStyle w:val="ESHeading3"/>
        <w:spacing w:before="0"/>
      </w:pPr>
    </w:p>
    <w:p w:rsidR="00D46B99">
      <w:pPr>
        <w:pStyle w:val="Normal0"/>
        <w:spacing w:after="0" w:line="240" w:lineRule="auto"/>
        <w:rPr>
          <w:b/>
          <w:iCs/>
          <w:color w:val="D40032"/>
          <w:sz w:val="24"/>
          <w:szCs w:val="24"/>
        </w:rPr>
      </w:pPr>
      <w:r>
        <w:rPr>
          <w:b/>
          <w:iCs/>
          <w:color w:val="D40032"/>
          <w:sz w:val="24"/>
          <w:szCs w:val="24"/>
        </w:rPr>
        <w:br w:type="page"/>
      </w:r>
    </w:p>
    <w:p w:rsidR="002E7DAF" w:rsidRPr="00DE50B0" w:rsidP="00024458">
      <w:pPr>
        <w:pStyle w:val="ESBodyText"/>
        <w:spacing w:before="240" w:line="240" w:lineRule="auto"/>
        <w:ind w:left="567" w:hanging="567"/>
        <w:rPr>
          <w:b/>
          <w:iCs/>
          <w:color w:val="D40032"/>
          <w:sz w:val="24"/>
          <w:szCs w:val="24"/>
        </w:rPr>
      </w:pPr>
      <w:r w:rsidRPr="00DE50B0">
        <w:rPr>
          <w:b/>
          <w:iCs/>
          <w:color w:val="D40032"/>
          <w:sz w:val="24"/>
          <w:szCs w:val="24"/>
        </w:rPr>
        <w:t>WELLBEING</w:t>
      </w:r>
    </w:p>
    <w:p w:rsidR="00024458" w:rsidRPr="00DE50B0" w:rsidP="00024458">
      <w:pPr>
        <w:pStyle w:val="ESBodyText"/>
        <w:spacing w:before="240" w:line="240" w:lineRule="auto"/>
        <w:ind w:left="567" w:hanging="567"/>
        <w:rPr>
          <w:b/>
          <w:i/>
        </w:rPr>
      </w:pPr>
      <w:r w:rsidRPr="00DE50B0">
        <w:rPr>
          <w:b/>
          <w:i/>
        </w:rPr>
        <w:t>Key:</w:t>
      </w:r>
      <w:r w:rsidRPr="00DE50B0">
        <w:rPr>
          <w:b/>
          <w:i/>
        </w:rPr>
        <w:tab/>
        <w:t xml:space="preserve">‘Similar Schools’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024458" w:rsidRPr="00DE50B0" w:rsidP="00024458">
      <w:pPr>
        <w:pStyle w:val="ESHeading3"/>
        <w:rPr>
          <w:color w:val="1F1646"/>
        </w:rPr>
      </w:pPr>
      <w:r w:rsidRPr="00DE50B0">
        <w:rPr>
          <w:color w:val="1F1646"/>
        </w:rPr>
        <w:t>Student Attitudes to School – Sense of Connectedness</w:t>
      </w:r>
    </w:p>
    <w:p w:rsidR="00024458" w:rsidRPr="00DE50B0" w:rsidP="00024458">
      <w:pPr>
        <w:pStyle w:val="ESBodyText"/>
      </w:pPr>
      <w:r w:rsidRPr="00DE50B0">
        <w:t>The percent</w:t>
      </w:r>
      <w:r w:rsidRPr="00DE50B0" w:rsidR="00D54AE9">
        <w:t>age</w:t>
      </w:r>
      <w:r w:rsidRPr="00DE50B0">
        <w:t xml:space="preserve"> endorsement on Sense of Connectedness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Sense of Connectedness</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71.1%</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73.3%</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73.4%</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75.9%</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76.8%</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77.9%</w:t>
            </w:r>
          </w:p>
        </w:tc>
      </w:tr>
    </w:tbl>
    <w:p w:rsidR="00192E38" w:rsidRPr="00DE50B0" w:rsidP="00F52ED0">
      <w:pPr>
        <w:pStyle w:val="Body20"/>
      </w:pPr>
    </w:p>
    <w:p w:rsidR="00024458" w:rsidRPr="00DE50B0" w:rsidP="00024458">
      <w:pPr>
        <w:pStyle w:val="ESHeading3"/>
        <w:spacing w:before="480"/>
        <w:rPr>
          <w:color w:val="1F1646"/>
        </w:rPr>
      </w:pPr>
      <w:r w:rsidRPr="00DE50B0">
        <w:rPr>
          <w:color w:val="1F1646"/>
        </w:rPr>
        <w:t>Student Attitudes to School – Management of Bullying</w:t>
      </w:r>
    </w:p>
    <w:p w:rsidR="00024458" w:rsidRPr="00DE50B0" w:rsidP="00024458">
      <w:pPr>
        <w:pStyle w:val="ESBodyText"/>
      </w:pPr>
      <w:r w:rsidRPr="00DE50B0">
        <w:t>The percent</w:t>
      </w:r>
      <w:r w:rsidRPr="00DE50B0" w:rsidR="00D54AE9">
        <w:t>age</w:t>
      </w:r>
      <w:r w:rsidRPr="00DE50B0">
        <w:t xml:space="preserve"> endorsement on Management of Bullying factor, as reported in the Attitudes to School Survey completed annually by Victorian government school students, indicates the percent of positive responses (agree or strongly agree).</w:t>
      </w:r>
    </w:p>
    <w:p w:rsidR="00024458" w:rsidRPr="00DE50B0" w:rsidP="00024458">
      <w:pPr>
        <w:pStyle w:val="ESBodyText"/>
        <w:spacing w:before="120" w:after="240"/>
      </w:pPr>
      <w:r w:rsidRPr="00DE50B0">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6"/>
        <w:gridCol w:w="1054"/>
        <w:gridCol w:w="8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86" w:type="dxa"/>
        </w:trPr>
        <w:tc>
          <w:tcPr>
            <w:tcW w:w="2835" w:type="dxa"/>
            <w:vAlign w:val="bottom"/>
          </w:tcPr>
          <w:p w:rsidR="00024458" w:rsidRPr="00DE50B0">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Management of Bullying</w:t>
            </w:r>
          </w:p>
          <w:p w:rsidR="00024458" w:rsidRPr="00DE50B0">
            <w:pPr>
              <w:pStyle w:val="ESBodyText"/>
              <w:spacing w:line="240" w:lineRule="auto"/>
              <w:rPr>
                <w:b/>
                <w:bCs/>
                <w:color w:val="1F1646"/>
              </w:rPr>
            </w:pPr>
            <w:r w:rsidRPr="00DE50B0">
              <w:rPr>
                <w:rFonts w:eastAsia="Times New Roman"/>
                <w:b/>
                <w:bCs/>
                <w:color w:val="1F1646"/>
                <w:lang w:val="en-AU" w:eastAsia="en-AU"/>
              </w:rPr>
              <w:t>Years 4 to 6</w:t>
            </w:r>
          </w:p>
        </w:tc>
        <w:tc>
          <w:tcPr>
            <w:tcW w:w="1134" w:type="dxa"/>
            <w:vAlign w:val="bottom"/>
          </w:tcPr>
          <w:p w:rsidR="00024458" w:rsidRPr="00A14670">
            <w:pPr>
              <w:pStyle w:val="ESBodyText"/>
              <w:spacing w:line="240" w:lineRule="auto"/>
              <w:jc w:val="center"/>
              <w:rPr>
                <w:color w:val="1F1646"/>
              </w:rPr>
            </w:pPr>
            <w:r w:rsidRPr="00A14670">
              <w:rPr>
                <w:color w:val="1F1646"/>
              </w:rPr>
              <w:t>Latest year (</w:t>
            </w:r>
            <w:r w:rsidRPr="00A14670" w:rsidR="00A53A40">
              <w:rPr>
                <w:color w:val="1F1646"/>
              </w:rPr>
              <w:t>2024</w:t>
            </w:r>
            <w:r w:rsidRPr="00A14670">
              <w:rPr>
                <w:color w:val="1F1646"/>
              </w:rPr>
              <w:t>)</w:t>
            </w:r>
          </w:p>
        </w:tc>
        <w:tc>
          <w:tcPr>
            <w:tcW w:w="1060" w:type="dxa"/>
            <w:gridSpan w:val="2"/>
            <w:vAlign w:val="bottom"/>
          </w:tcPr>
          <w:p w:rsidR="00024458" w:rsidRPr="00A14670">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School percent</w:t>
            </w:r>
            <w:r w:rsidRPr="00DE50B0" w:rsidR="00D54AE9">
              <w:rPr>
                <w:color w:val="1F1646"/>
              </w:rPr>
              <w:t>age</w:t>
            </w:r>
            <w:r w:rsidRPr="00DE50B0">
              <w:rPr>
                <w:color w:val="1F1646"/>
              </w:rPr>
              <w:t xml:space="preserve"> endorsement:</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62.6%</w:t>
            </w:r>
          </w:p>
        </w:tc>
        <w:tc>
          <w:tcPr>
            <w:tcW w:w="1140" w:type="dxa"/>
            <w:gridSpan w:val="2"/>
            <w:tcBorders>
              <w:bottom w:val="single" w:sz="4" w:space="0" w:color="FFFFFF" w:themeColor="background1"/>
            </w:tcBorders>
            <w:shd w:val="clear" w:color="auto" w:fill="D40032"/>
            <w:tcMar>
              <w:top w:w="57" w:type="dxa"/>
            </w:tcMar>
            <w:vAlign w:val="center"/>
          </w:tcPr>
          <w:p w:rsidR="00024458" w:rsidRPr="00A14670">
            <w:pPr>
              <w:pStyle w:val="ESBodyText"/>
              <w:spacing w:line="240" w:lineRule="auto"/>
              <w:jc w:val="center"/>
              <w:rPr>
                <w:color w:val="FFFFFF"/>
              </w:rPr>
            </w:pPr>
            <w:r>
              <w:rPr>
                <w:color w:val="FFFFFF"/>
              </w:rPr>
              <w:t>66.0%</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Similar Schools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73.1%</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024458" w:rsidRPr="00A14670">
            <w:pPr>
              <w:pStyle w:val="ESBodyText"/>
              <w:spacing w:line="240" w:lineRule="auto"/>
              <w:jc w:val="center"/>
              <w:rPr>
                <w:color w:val="1F1646"/>
              </w:rPr>
            </w:pPr>
            <w:r>
              <w:rPr>
                <w:color w:val="1F1646"/>
              </w:rPr>
              <w:t>74.8%</w:t>
            </w:r>
          </w:p>
        </w:tc>
      </w:tr>
      <w:tr w:rsidTr="00A00971">
        <w:tblPrEx>
          <w:tblW w:w="0" w:type="auto"/>
          <w:tblLayout w:type="fixed"/>
          <w:tblLook w:val="04A0"/>
        </w:tblPrEx>
        <w:trPr>
          <w:trHeight w:hRule="exact" w:val="567"/>
        </w:trPr>
        <w:tc>
          <w:tcPr>
            <w:tcW w:w="2835" w:type="dxa"/>
            <w:tcMar>
              <w:top w:w="57" w:type="dxa"/>
            </w:tcMar>
            <w:vAlign w:val="center"/>
          </w:tcPr>
          <w:p w:rsidR="00024458" w:rsidRPr="00DE50B0">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75.5%</w:t>
            </w:r>
          </w:p>
        </w:tc>
        <w:tc>
          <w:tcPr>
            <w:tcW w:w="1140" w:type="dxa"/>
            <w:gridSpan w:val="2"/>
            <w:tcBorders>
              <w:top w:val="single" w:sz="4" w:space="0" w:color="FFFFFF" w:themeColor="background1"/>
            </w:tcBorders>
            <w:shd w:val="clear" w:color="auto" w:fill="1F1646"/>
            <w:tcMar>
              <w:top w:w="57" w:type="dxa"/>
            </w:tcMar>
            <w:vAlign w:val="center"/>
          </w:tcPr>
          <w:p w:rsidR="00024458" w:rsidRPr="00A14670">
            <w:pPr>
              <w:pStyle w:val="ESBodyText"/>
              <w:spacing w:line="240" w:lineRule="auto"/>
              <w:jc w:val="center"/>
              <w:rPr>
                <w:color w:val="FFFFFF"/>
              </w:rPr>
            </w:pPr>
            <w:r>
              <w:rPr>
                <w:color w:val="FFFFFF"/>
              </w:rPr>
              <w:t>76.3%</w:t>
            </w:r>
          </w:p>
        </w:tc>
      </w:tr>
    </w:tbl>
    <w:p w:rsidR="00024458" w:rsidRPr="00DE50B0" w:rsidP="00024458">
      <w:pPr>
        <w:pStyle w:val="ESBodyText"/>
      </w:pPr>
    </w:p>
    <w:p w:rsidR="00944B57" w:rsidRPr="00DE50B0" w:rsidP="00693B34">
      <w:pPr>
        <w:pStyle w:val="ESBodyText"/>
        <w:spacing w:after="0" w:line="240" w:lineRule="auto"/>
        <w:rPr>
          <w:rFonts w:eastAsia="Arial"/>
          <w:color w:val="000000"/>
        </w:rPr>
      </w:pPr>
    </w:p>
    <w:p w:rsidR="00693B34" w:rsidRPr="00DE50B0" w:rsidP="00693B34">
      <w:pPr>
        <w:pStyle w:val="Normal0"/>
        <w:spacing w:after="0" w:line="240" w:lineRule="auto"/>
      </w:pPr>
    </w:p>
    <w:p w:rsidR="00693B34" w:rsidRPr="00DE50B0" w:rsidP="00693B34">
      <w:pPr>
        <w:pStyle w:val="Normal0"/>
        <w:spacing w:after="0" w:line="240" w:lineRule="auto"/>
      </w:pPr>
    </w:p>
    <w:p w:rsidR="005B6BD9"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410C77" w:rsidRPr="00DE50B0">
      <w:pPr>
        <w:pStyle w:val="Normal0"/>
        <w:spacing w:after="0" w:line="240" w:lineRule="auto"/>
      </w:pPr>
    </w:p>
    <w:p w:rsidR="00410C77" w:rsidRPr="00DE50B0">
      <w:pPr>
        <w:pStyle w:val="Normal0"/>
        <w:spacing w:after="0" w:line="240" w:lineRule="auto"/>
      </w:pPr>
    </w:p>
    <w:p w:rsidR="00FC6950" w:rsidRPr="00DE50B0">
      <w:pPr>
        <w:pStyle w:val="Normal0"/>
        <w:spacing w:after="0" w:line="240" w:lineRule="auto"/>
      </w:pPr>
    </w:p>
    <w:p w:rsidR="00FC6950" w:rsidRPr="00DE50B0">
      <w:pPr>
        <w:pStyle w:val="Normal0"/>
        <w:spacing w:after="0" w:line="240" w:lineRule="auto"/>
      </w:pPr>
    </w:p>
    <w:p w:rsidR="00A14670">
      <w:pPr>
        <w:pStyle w:val="Normal0"/>
        <w:spacing w:after="0" w:line="240" w:lineRule="auto"/>
        <w:rPr>
          <w:b/>
          <w:iCs/>
          <w:color w:val="D40032"/>
          <w:sz w:val="24"/>
          <w:szCs w:val="24"/>
        </w:rPr>
      </w:pPr>
      <w:r>
        <w:rPr>
          <w:b/>
          <w:iCs/>
          <w:color w:val="D40032"/>
          <w:sz w:val="24"/>
          <w:szCs w:val="24"/>
        </w:rPr>
        <w:br w:type="page"/>
      </w:r>
    </w:p>
    <w:p w:rsidR="002E7DAF" w:rsidRPr="00DE50B0" w:rsidP="00F14C40">
      <w:pPr>
        <w:pStyle w:val="ESBodyText"/>
        <w:spacing w:before="240" w:line="240" w:lineRule="auto"/>
        <w:ind w:left="567" w:hanging="567"/>
        <w:rPr>
          <w:b/>
          <w:iCs/>
          <w:color w:val="D40032"/>
          <w:sz w:val="24"/>
          <w:szCs w:val="24"/>
        </w:rPr>
      </w:pPr>
      <w:r w:rsidRPr="00DE50B0">
        <w:rPr>
          <w:b/>
          <w:iCs/>
          <w:color w:val="D40032"/>
          <w:sz w:val="24"/>
          <w:szCs w:val="24"/>
        </w:rPr>
        <w:t>ENGA</w:t>
      </w:r>
      <w:r w:rsidRPr="00DE50B0" w:rsidR="001D0B7C">
        <w:rPr>
          <w:b/>
          <w:iCs/>
          <w:color w:val="D40032"/>
          <w:sz w:val="24"/>
          <w:szCs w:val="24"/>
        </w:rPr>
        <w:t>GEMENT</w:t>
      </w:r>
    </w:p>
    <w:p w:rsidR="00666BAD" w:rsidRPr="00DE50B0" w:rsidP="00F14C40">
      <w:pPr>
        <w:pStyle w:val="ESBodyText"/>
        <w:spacing w:before="240" w:line="240" w:lineRule="auto"/>
        <w:ind w:left="567" w:hanging="567"/>
        <w:rPr>
          <w:b/>
          <w:i/>
        </w:rPr>
      </w:pPr>
      <w:r w:rsidRPr="00DE50B0">
        <w:rPr>
          <w:b/>
          <w:i/>
        </w:rPr>
        <w:t>Key:</w:t>
      </w:r>
      <w:r w:rsidRPr="00DE50B0">
        <w:rPr>
          <w:b/>
          <w:i/>
        </w:rPr>
        <w:tab/>
      </w:r>
      <w:r w:rsidRPr="00DE50B0" w:rsidR="002C53B8">
        <w:rPr>
          <w:b/>
          <w:i/>
        </w:rPr>
        <w:t>‘</w:t>
      </w:r>
      <w:r w:rsidRPr="00DE50B0">
        <w:rPr>
          <w:b/>
          <w:i/>
        </w:rPr>
        <w:t>Similar Schools</w:t>
      </w:r>
      <w:r w:rsidRPr="00DE50B0" w:rsidR="002C53B8">
        <w:rPr>
          <w:b/>
          <w:i/>
        </w:rPr>
        <w:t>’</w:t>
      </w:r>
      <w:r w:rsidRPr="00DE50B0">
        <w:rPr>
          <w:b/>
          <w:i/>
        </w:rPr>
        <w:t xml:space="preserve"> are a group of Victorian government schools that are like this school, </w:t>
      </w:r>
      <w:r w:rsidRPr="00DE50B0">
        <w:rPr>
          <w:b/>
          <w:i/>
        </w:rPr>
        <w:t>taking into account</w:t>
      </w:r>
      <w:r w:rsidRPr="00DE50B0">
        <w:rPr>
          <w:b/>
          <w:i/>
        </w:rPr>
        <w:t xml:space="preserve"> the school’s socioeconomic background of students, the number of non-English speaking students and the size and location of the school.</w:t>
      </w:r>
    </w:p>
    <w:p w:rsidR="009E6D61" w:rsidRPr="00DE50B0" w:rsidP="00F14C40">
      <w:pPr>
        <w:pStyle w:val="ESHeading3"/>
        <w:rPr>
          <w:color w:val="1F1646"/>
        </w:rPr>
      </w:pPr>
      <w:r w:rsidRPr="00DE50B0">
        <w:rPr>
          <w:color w:val="1F1646"/>
        </w:rPr>
        <w:t>Average Number of Student Absence Days</w:t>
      </w:r>
    </w:p>
    <w:p w:rsidR="001016C0" w:rsidRPr="00DE50B0">
      <w:pPr>
        <w:pStyle w:val="ESBodyText"/>
      </w:pPr>
      <w:r w:rsidRPr="00DE50B0">
        <w:t>Absence from school can impact on students’ learning.</w:t>
      </w:r>
      <w:r w:rsidRPr="00DE50B0" w:rsidR="00731F19">
        <w:t xml:space="preserve"> </w:t>
      </w:r>
      <w:r w:rsidRPr="00DE50B0">
        <w:t>Common reasons for non-attendance include illness and extended family holidays.</w:t>
      </w:r>
      <w:r w:rsidRPr="00DE50B0" w:rsidR="000D7D46">
        <w:t xml:space="preserve"> </w:t>
      </w:r>
    </w:p>
    <w:p w:rsidR="002E45F9" w:rsidRPr="00DE50B0">
      <w:pPr>
        <w:pStyle w:val="ESBodyText"/>
      </w:pPr>
      <w:r w:rsidRPr="00DE50B0">
        <w:rPr>
          <w:noProof/>
        </w:rPr>
        <w:drawing>
          <wp:anchor distT="0" distB="0" distL="114300" distR="114300" simplePos="0" relativeHeight="251665408" behindDoc="0" locked="0" layoutInCell="1" allowOverlap="1">
            <wp:simplePos x="0" y="0"/>
            <wp:positionH relativeFrom="column">
              <wp:posOffset>3413125</wp:posOffset>
            </wp:positionH>
            <wp:positionV relativeFrom="paragraph">
              <wp:posOffset>29845</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9"/>
        <w:gridCol w:w="1123"/>
        <w:gridCol w:w="17"/>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7" w:type="dxa"/>
        </w:trPr>
        <w:tc>
          <w:tcPr>
            <w:tcW w:w="2835" w:type="dxa"/>
            <w:vAlign w:val="bottom"/>
          </w:tcPr>
          <w:p w:rsidR="002E45F9" w:rsidRPr="00DE50B0" w:rsidP="002E45F9">
            <w:pPr>
              <w:pStyle w:val="Normal0"/>
              <w:spacing w:after="0" w:line="240" w:lineRule="auto"/>
              <w:rPr>
                <w:rFonts w:eastAsia="Times New Roman"/>
                <w:b/>
                <w:bCs/>
                <w:color w:val="1F1646"/>
                <w:lang w:val="en-AU" w:eastAsia="en-AU"/>
              </w:rPr>
            </w:pPr>
            <w:r w:rsidRPr="00DE50B0">
              <w:rPr>
                <w:rFonts w:eastAsia="Times New Roman"/>
                <w:b/>
                <w:bCs/>
                <w:color w:val="1F1646"/>
                <w:lang w:val="en-AU" w:eastAsia="en-AU"/>
              </w:rPr>
              <w:t>Student Absence</w:t>
            </w:r>
          </w:p>
          <w:p w:rsidR="002E45F9" w:rsidRPr="00DE50B0" w:rsidP="002E45F9">
            <w:pPr>
              <w:pStyle w:val="ESBodyText"/>
              <w:spacing w:line="240" w:lineRule="auto"/>
              <w:rPr>
                <w:b/>
                <w:bCs/>
                <w:color w:val="1F1646"/>
              </w:rPr>
            </w:pPr>
            <w:r w:rsidRPr="00DE50B0">
              <w:rPr>
                <w:rFonts w:eastAsia="Times New Roman"/>
                <w:b/>
                <w:bCs/>
                <w:color w:val="1F1646"/>
                <w:lang w:val="en-AU" w:eastAsia="en-AU"/>
              </w:rPr>
              <w:t>Years Prep to 6</w:t>
            </w:r>
          </w:p>
        </w:tc>
        <w:tc>
          <w:tcPr>
            <w:tcW w:w="1131" w:type="dxa"/>
            <w:vAlign w:val="bottom"/>
          </w:tcPr>
          <w:p w:rsidR="002E45F9" w:rsidRPr="00A14670" w:rsidP="00BA1967">
            <w:pPr>
              <w:pStyle w:val="ESBodyText"/>
              <w:spacing w:line="240" w:lineRule="auto"/>
              <w:jc w:val="center"/>
              <w:rPr>
                <w:color w:val="1F1646"/>
              </w:rPr>
            </w:pPr>
            <w:r w:rsidRPr="00A14670">
              <w:rPr>
                <w:color w:val="1F1646"/>
              </w:rPr>
              <w:t>Latest year (</w:t>
            </w:r>
            <w:r w:rsidRPr="00A14670" w:rsidR="000546E4">
              <w:rPr>
                <w:color w:val="1F1646"/>
              </w:rPr>
              <w:t>20</w:t>
            </w:r>
            <w:r w:rsidRPr="00A14670" w:rsidR="008711DB">
              <w:rPr>
                <w:color w:val="1F1646"/>
              </w:rPr>
              <w:t>24</w:t>
            </w:r>
            <w:r w:rsidRPr="00A14670">
              <w:rPr>
                <w:color w:val="1F1646"/>
              </w:rPr>
              <w:t>)</w:t>
            </w:r>
          </w:p>
        </w:tc>
        <w:tc>
          <w:tcPr>
            <w:tcW w:w="1132" w:type="dxa"/>
            <w:gridSpan w:val="2"/>
            <w:vAlign w:val="bottom"/>
          </w:tcPr>
          <w:p w:rsidR="002E45F9" w:rsidRPr="00A14670" w:rsidP="00BA1967">
            <w:pPr>
              <w:pStyle w:val="ESBodyText"/>
              <w:spacing w:line="240" w:lineRule="auto"/>
              <w:jc w:val="center"/>
              <w:rPr>
                <w:color w:val="1F1646"/>
              </w:rPr>
            </w:pPr>
            <w:r w:rsidRPr="00A14670">
              <w:rPr>
                <w:color w:val="1F1646"/>
              </w:rPr>
              <w:t>4</w:t>
            </w:r>
            <w:r w:rsidRPr="00A14670">
              <w:rPr>
                <w:color w:val="1F1646"/>
              </w:rPr>
              <w:t>-year average</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School average number of absence days:</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30.6</w:t>
            </w:r>
          </w:p>
        </w:tc>
        <w:tc>
          <w:tcPr>
            <w:tcW w:w="1140" w:type="dxa"/>
            <w:gridSpan w:val="2"/>
            <w:tcBorders>
              <w:bottom w:val="single" w:sz="4" w:space="0" w:color="FFFFFF" w:themeColor="background1"/>
            </w:tcBorders>
            <w:shd w:val="clear" w:color="auto" w:fill="D40032"/>
            <w:tcMar>
              <w:top w:w="57" w:type="dxa"/>
            </w:tcMar>
            <w:vAlign w:val="center"/>
          </w:tcPr>
          <w:p w:rsidR="002E45F9" w:rsidRPr="00A14670" w:rsidP="00BA1967">
            <w:pPr>
              <w:pStyle w:val="ESBodyText"/>
              <w:spacing w:line="240" w:lineRule="auto"/>
              <w:jc w:val="center"/>
              <w:rPr>
                <w:color w:val="FFFFFF"/>
              </w:rPr>
            </w:pPr>
            <w:r>
              <w:rPr>
                <w:color w:val="FFFFFF"/>
              </w:rPr>
              <w:t>24.9</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Similar School</w:t>
            </w:r>
            <w:r w:rsidRPr="00DE50B0" w:rsidR="003A7F6A">
              <w:rPr>
                <w:color w:val="1F1646"/>
              </w:rPr>
              <w:t>s</w:t>
            </w:r>
            <w:r w:rsidRPr="00DE50B0">
              <w:rPr>
                <w:color w:val="1F1646"/>
              </w:rPr>
              <w:t xml:space="preserve"> average:</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22.0</w:t>
            </w:r>
          </w:p>
        </w:tc>
        <w:tc>
          <w:tcPr>
            <w:tcW w:w="1140" w:type="dxa"/>
            <w:gridSpan w:val="2"/>
            <w:tcBorders>
              <w:top w:val="single" w:sz="4" w:space="0" w:color="FFFFFF" w:themeColor="background1"/>
              <w:bottom w:val="single" w:sz="4" w:space="0" w:color="FFFFFF" w:themeColor="background1"/>
            </w:tcBorders>
            <w:shd w:val="clear" w:color="auto" w:fill="88DBDF"/>
            <w:tcMar>
              <w:top w:w="57" w:type="dxa"/>
            </w:tcMar>
            <w:vAlign w:val="center"/>
          </w:tcPr>
          <w:p w:rsidR="002E45F9" w:rsidRPr="00A14670" w:rsidP="00BA1967">
            <w:pPr>
              <w:pStyle w:val="ESBodyText"/>
              <w:spacing w:line="240" w:lineRule="auto"/>
              <w:jc w:val="center"/>
              <w:rPr>
                <w:color w:val="1F1646"/>
              </w:rPr>
            </w:pPr>
            <w:r>
              <w:rPr>
                <w:color w:val="1F1646"/>
              </w:rPr>
              <w:t>19.7</w:t>
            </w:r>
          </w:p>
        </w:tc>
      </w:tr>
      <w:tr w:rsidTr="00A00971">
        <w:tblPrEx>
          <w:tblW w:w="0" w:type="auto"/>
          <w:tblLook w:val="04A0"/>
        </w:tblPrEx>
        <w:trPr>
          <w:trHeight w:hRule="exact" w:val="567"/>
        </w:trPr>
        <w:tc>
          <w:tcPr>
            <w:tcW w:w="2835" w:type="dxa"/>
            <w:tcMar>
              <w:top w:w="57" w:type="dxa"/>
            </w:tcMar>
            <w:vAlign w:val="center"/>
          </w:tcPr>
          <w:p w:rsidR="002E45F9" w:rsidRPr="00DE50B0" w:rsidP="00BA1967">
            <w:pPr>
              <w:pStyle w:val="ESBodyText"/>
              <w:spacing w:line="240" w:lineRule="auto"/>
              <w:rPr>
                <w:color w:val="1F1646"/>
              </w:rPr>
            </w:pPr>
            <w:r w:rsidRPr="00DE50B0">
              <w:rPr>
                <w:color w:val="1F1646"/>
              </w:rPr>
              <w:t>State average:</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21.8</w:t>
            </w:r>
          </w:p>
        </w:tc>
        <w:tc>
          <w:tcPr>
            <w:tcW w:w="1140" w:type="dxa"/>
            <w:gridSpan w:val="2"/>
            <w:tcBorders>
              <w:top w:val="single" w:sz="4" w:space="0" w:color="FFFFFF" w:themeColor="background1"/>
            </w:tcBorders>
            <w:shd w:val="clear" w:color="auto" w:fill="1F1646"/>
            <w:tcMar>
              <w:top w:w="57" w:type="dxa"/>
            </w:tcMar>
            <w:vAlign w:val="center"/>
          </w:tcPr>
          <w:p w:rsidR="002E45F9" w:rsidRPr="00A14670" w:rsidP="00BA1967">
            <w:pPr>
              <w:pStyle w:val="ESBodyText"/>
              <w:spacing w:line="240" w:lineRule="auto"/>
              <w:jc w:val="center"/>
              <w:rPr>
                <w:color w:val="FFFFFF"/>
              </w:rPr>
            </w:pPr>
            <w:r>
              <w:rPr>
                <w:color w:val="FFFFFF"/>
              </w:rPr>
              <w:t>20.1</w:t>
            </w:r>
          </w:p>
        </w:tc>
      </w:tr>
    </w:tbl>
    <w:p w:rsidR="002E45F9" w:rsidRPr="00DE50B0">
      <w:pPr>
        <w:pStyle w:val="ESBodyText"/>
      </w:pPr>
    </w:p>
    <w:p w:rsidR="002E45F9" w:rsidRPr="00DE50B0">
      <w:pPr>
        <w:pStyle w:val="ESBodyText"/>
      </w:pPr>
    </w:p>
    <w:p w:rsidR="002E45F9" w:rsidRPr="00DE50B0">
      <w:pPr>
        <w:pStyle w:val="ESBodyText"/>
      </w:pPr>
    </w:p>
    <w:p w:rsidR="00116F0E" w:rsidRPr="00DE50B0">
      <w:pPr>
        <w:pStyle w:val="ESBodyText"/>
        <w:rPr>
          <w:b/>
          <w:bCs/>
          <w:color w:val="1F1646"/>
        </w:rPr>
      </w:pPr>
      <w:r w:rsidRPr="00DE50B0">
        <w:rPr>
          <w:color w:val="1F1646"/>
        </w:rPr>
        <w:t xml:space="preserve">  </w:t>
      </w:r>
      <w:r w:rsidRPr="00DE50B0">
        <w:rPr>
          <w:b/>
          <w:bCs/>
          <w:color w:val="1F1646"/>
        </w:rPr>
        <w:t>Attendance Rate (latest year)</w:t>
      </w:r>
    </w:p>
    <w:p w:rsidR="00116F0E" w:rsidRPr="00DE50B0">
      <w:pPr>
        <w:pStyle w:val="ESBodyText"/>
      </w:pPr>
      <w:r w:rsidRPr="00DE50B0">
        <w:t xml:space="preserve">  Attendance rate refers to the average proportion of formal school days students in each year level attended.</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DE50B0">
            <w:pPr>
              <w:pStyle w:val="ESBodyText"/>
              <w:rPr>
                <w:b/>
                <w:bCs/>
              </w:rPr>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3" w:type="dxa"/>
          </w:tcPr>
          <w:p w:rsidR="006F4FB2" w:rsidRPr="00DE50B0">
            <w:pPr>
              <w:pStyle w:val="ESBodyText"/>
            </w:pPr>
          </w:p>
        </w:tc>
        <w:tc>
          <w:tcPr>
            <w:tcW w:w="1094" w:type="dxa"/>
          </w:tcPr>
          <w:p w:rsidR="006F4FB2" w:rsidRPr="00DE50B0">
            <w:pPr>
              <w:pStyle w:val="ESBodyText"/>
            </w:pPr>
          </w:p>
        </w:tc>
        <w:tc>
          <w:tcPr>
            <w:tcW w:w="1094" w:type="dxa"/>
          </w:tcPr>
          <w:p w:rsidR="006F4FB2" w:rsidRPr="00DE50B0">
            <w:pPr>
              <w:pStyle w:val="ESBodyText"/>
            </w:pPr>
          </w:p>
        </w:tc>
      </w:tr>
      <w:tr w:rsidTr="00E163B8">
        <w:tblPrEx>
          <w:tblW w:w="0" w:type="auto"/>
          <w:tblLook w:val="04A0"/>
        </w:tblPrEx>
        <w:tc>
          <w:tcPr>
            <w:tcW w:w="2835" w:type="dxa"/>
            <w:vAlign w:val="bottom"/>
          </w:tcPr>
          <w:p w:rsidR="006F4FB2" w:rsidRPr="00DE50B0">
            <w:pPr>
              <w:pStyle w:val="ESBodyText"/>
              <w:rPr>
                <w:color w:val="1F1646"/>
              </w:rPr>
            </w:pPr>
          </w:p>
        </w:tc>
        <w:tc>
          <w:tcPr>
            <w:tcW w:w="1093" w:type="dxa"/>
            <w:vAlign w:val="bottom"/>
          </w:tcPr>
          <w:p w:rsidR="006F4FB2" w:rsidRPr="00DE50B0" w:rsidP="006F4FB2">
            <w:pPr>
              <w:pStyle w:val="ESBodyText"/>
              <w:jc w:val="center"/>
              <w:rPr>
                <w:color w:val="1F1646"/>
              </w:rPr>
            </w:pPr>
            <w:r w:rsidRPr="00DE50B0">
              <w:rPr>
                <w:color w:val="1F1646"/>
              </w:rPr>
              <w:t>Prep</w:t>
            </w:r>
          </w:p>
        </w:tc>
        <w:tc>
          <w:tcPr>
            <w:tcW w:w="1094" w:type="dxa"/>
            <w:vAlign w:val="bottom"/>
          </w:tcPr>
          <w:p w:rsidR="006F4FB2" w:rsidRPr="00DE50B0" w:rsidP="006F4FB2">
            <w:pPr>
              <w:pStyle w:val="ESBodyText"/>
              <w:jc w:val="center"/>
              <w:rPr>
                <w:color w:val="1F1646"/>
              </w:rPr>
            </w:pPr>
            <w:r w:rsidRPr="00DE50B0">
              <w:rPr>
                <w:color w:val="1F1646"/>
              </w:rPr>
              <w:t>Year 1</w:t>
            </w:r>
          </w:p>
        </w:tc>
        <w:tc>
          <w:tcPr>
            <w:tcW w:w="1093" w:type="dxa"/>
            <w:vAlign w:val="bottom"/>
          </w:tcPr>
          <w:p w:rsidR="006F4FB2" w:rsidRPr="00DE50B0" w:rsidP="006F4FB2">
            <w:pPr>
              <w:pStyle w:val="ESBodyText"/>
              <w:jc w:val="center"/>
              <w:rPr>
                <w:color w:val="1F1646"/>
              </w:rPr>
            </w:pPr>
            <w:r w:rsidRPr="00DE50B0">
              <w:rPr>
                <w:color w:val="1F1646"/>
              </w:rPr>
              <w:t>Year 2</w:t>
            </w:r>
          </w:p>
        </w:tc>
        <w:tc>
          <w:tcPr>
            <w:tcW w:w="1094" w:type="dxa"/>
            <w:vAlign w:val="bottom"/>
          </w:tcPr>
          <w:p w:rsidR="006F4FB2" w:rsidRPr="00DE50B0" w:rsidP="006F4FB2">
            <w:pPr>
              <w:pStyle w:val="ESBodyText"/>
              <w:jc w:val="center"/>
              <w:rPr>
                <w:color w:val="1F1646"/>
              </w:rPr>
            </w:pPr>
            <w:r w:rsidRPr="00DE50B0">
              <w:rPr>
                <w:color w:val="1F1646"/>
              </w:rPr>
              <w:t>Year 3</w:t>
            </w:r>
          </w:p>
        </w:tc>
        <w:tc>
          <w:tcPr>
            <w:tcW w:w="1093" w:type="dxa"/>
            <w:vAlign w:val="bottom"/>
          </w:tcPr>
          <w:p w:rsidR="006F4FB2" w:rsidRPr="00DE50B0" w:rsidP="006F4FB2">
            <w:pPr>
              <w:pStyle w:val="ESBodyText"/>
              <w:jc w:val="center"/>
              <w:rPr>
                <w:color w:val="1F1646"/>
              </w:rPr>
            </w:pPr>
            <w:r w:rsidRPr="00DE50B0">
              <w:rPr>
                <w:color w:val="1F1646"/>
              </w:rPr>
              <w:t>Year 4</w:t>
            </w:r>
          </w:p>
        </w:tc>
        <w:tc>
          <w:tcPr>
            <w:tcW w:w="1094" w:type="dxa"/>
            <w:vAlign w:val="bottom"/>
          </w:tcPr>
          <w:p w:rsidR="006F4FB2" w:rsidRPr="00DE50B0" w:rsidP="006F4FB2">
            <w:pPr>
              <w:pStyle w:val="ESBodyText"/>
              <w:jc w:val="center"/>
              <w:rPr>
                <w:color w:val="1F1646"/>
              </w:rPr>
            </w:pPr>
            <w:r w:rsidRPr="00DE50B0">
              <w:rPr>
                <w:color w:val="1F1646"/>
              </w:rPr>
              <w:t>Year 5</w:t>
            </w:r>
          </w:p>
        </w:tc>
        <w:tc>
          <w:tcPr>
            <w:tcW w:w="1094" w:type="dxa"/>
            <w:vAlign w:val="bottom"/>
          </w:tcPr>
          <w:p w:rsidR="006F4FB2" w:rsidRPr="00DE50B0" w:rsidP="006F4FB2">
            <w:pPr>
              <w:pStyle w:val="ESBodyText"/>
              <w:jc w:val="center"/>
              <w:rPr>
                <w:color w:val="1F1646"/>
              </w:rPr>
            </w:pPr>
            <w:r w:rsidRPr="00DE50B0">
              <w:rPr>
                <w:color w:val="1F1646"/>
              </w:rPr>
              <w:t>Year 6</w:t>
            </w:r>
          </w:p>
        </w:tc>
      </w:tr>
      <w:tr w:rsidTr="009A7C9D">
        <w:tblPrEx>
          <w:tblW w:w="0" w:type="auto"/>
          <w:tblLook w:val="04A0"/>
        </w:tblPrEx>
        <w:tc>
          <w:tcPr>
            <w:tcW w:w="2835" w:type="dxa"/>
          </w:tcPr>
          <w:p w:rsidR="006F4FB2" w:rsidRPr="00DE50B0">
            <w:pPr>
              <w:pStyle w:val="ESBodyText"/>
              <w:rPr>
                <w:color w:val="1F1646"/>
              </w:rPr>
            </w:pPr>
            <w:r w:rsidRPr="00DE50B0">
              <w:rPr>
                <w:color w:val="1F1646"/>
              </w:rPr>
              <w:t>Attendance Rate by year level (</w:t>
            </w:r>
            <w:r w:rsidRPr="00DE50B0" w:rsidR="008711DB">
              <w:rPr>
                <w:color w:val="1F1646"/>
              </w:rPr>
              <w:t>2024</w:t>
            </w:r>
            <w:r w:rsidRPr="00DE50B0">
              <w:rPr>
                <w:color w:val="1F1646"/>
              </w:rPr>
              <w:t>):</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91%</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85%</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82%</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84%</w:t>
            </w:r>
          </w:p>
        </w:tc>
        <w:tc>
          <w:tcPr>
            <w:tcW w:w="1093" w:type="dxa"/>
            <w:shd w:val="clear" w:color="auto" w:fill="D40032"/>
            <w:tcMar>
              <w:top w:w="57" w:type="dxa"/>
            </w:tcMar>
            <w:vAlign w:val="center"/>
          </w:tcPr>
          <w:p w:rsidR="006F4FB2" w:rsidRPr="00DE50B0" w:rsidP="006F4FB2">
            <w:pPr>
              <w:pStyle w:val="ESBodyText"/>
              <w:jc w:val="center"/>
              <w:rPr>
                <w:color w:val="FFFFFF"/>
              </w:rPr>
            </w:pPr>
            <w:r>
              <w:rPr>
                <w:color w:val="FFFFFF"/>
              </w:rPr>
              <w:t>83%</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84%</w:t>
            </w:r>
          </w:p>
        </w:tc>
        <w:tc>
          <w:tcPr>
            <w:tcW w:w="1094" w:type="dxa"/>
            <w:shd w:val="clear" w:color="auto" w:fill="D40032"/>
            <w:tcMar>
              <w:top w:w="57" w:type="dxa"/>
            </w:tcMar>
            <w:vAlign w:val="center"/>
          </w:tcPr>
          <w:p w:rsidR="006F4FB2" w:rsidRPr="00DE50B0" w:rsidP="006F4FB2">
            <w:pPr>
              <w:pStyle w:val="ESBodyText"/>
              <w:jc w:val="center"/>
              <w:rPr>
                <w:color w:val="FFFFFF"/>
              </w:rPr>
            </w:pPr>
            <w:r>
              <w:rPr>
                <w:color w:val="FFFFFF"/>
              </w:rPr>
              <w:t>83%</w:t>
            </w:r>
          </w:p>
        </w:tc>
      </w:tr>
    </w:tbl>
    <w:p w:rsidR="008A2551" w:rsidRPr="00DE50B0">
      <w:pPr>
        <w:pStyle w:val="ESBodyText"/>
        <w:rPr>
          <w:color w:val="1F1646"/>
        </w:rPr>
      </w:pPr>
    </w:p>
    <w:p w:rsidR="008A2551" w:rsidRPr="00DE50B0">
      <w:pPr>
        <w:pStyle w:val="ESBodyText"/>
      </w:pPr>
    </w:p>
    <w:p w:rsidR="006A4059" w:rsidRPr="00DE50B0" w:rsidP="006A4059">
      <w:pPr>
        <w:pStyle w:val="ESBodyText"/>
      </w:pPr>
    </w:p>
    <w:p w:rsidR="009E6D61" w:rsidRPr="00DE50B0" w:rsidP="001D0B7C">
      <w:pPr>
        <w:pStyle w:val="Normal0"/>
        <w:spacing w:after="0" w:line="240" w:lineRule="auto"/>
        <w:rPr>
          <w:b/>
          <w:color w:val="000000"/>
        </w:rPr>
      </w:pPr>
      <w:r w:rsidRPr="00DE50B0">
        <w:br w:type="page"/>
      </w:r>
      <w:r w:rsidRPr="00DE50B0" w:rsidR="007567CF">
        <w:rPr>
          <w:b/>
          <w:color w:val="D40032"/>
          <w:sz w:val="44"/>
          <w:szCs w:val="52"/>
        </w:rPr>
        <w:t>Financial Performance and Position</w:t>
      </w:r>
    </w:p>
    <w:p w:rsidR="009E6D61" w:rsidRPr="00DE50B0" w:rsidP="0099239B">
      <w:pPr>
        <w:pStyle w:val="ESHeading20"/>
        <w:spacing w:after="480"/>
        <w:rPr>
          <w:rFonts w:cs="Arial"/>
          <w:b w:val="0"/>
          <w:bCs w:val="0"/>
          <w:color w:val="D40032"/>
          <w:sz w:val="24"/>
          <w:szCs w:val="24"/>
        </w:rPr>
      </w:pPr>
      <w:r w:rsidRPr="00DE50B0">
        <w:rPr>
          <w:rFonts w:cs="Arial"/>
          <w:b w:val="0"/>
          <w:bCs w:val="0"/>
          <w:color w:val="D40032"/>
          <w:sz w:val="24"/>
          <w:szCs w:val="24"/>
        </w:rPr>
        <w:t xml:space="preserve">Financial Performance - Operating Statement Summary for the year ending 31 </w:t>
      </w:r>
      <w:r w:rsidRPr="00DE50B0">
        <w:rPr>
          <w:rFonts w:cs="Arial"/>
          <w:b w:val="0"/>
          <w:bCs w:val="0"/>
          <w:color w:val="D40032"/>
          <w:sz w:val="24"/>
          <w:szCs w:val="24"/>
        </w:rPr>
        <w:t>December,</w:t>
      </w:r>
      <w:r w:rsidRPr="00DE50B0">
        <w:rPr>
          <w:rFonts w:cs="Arial"/>
          <w:b w:val="0"/>
          <w:bCs w:val="0"/>
          <w:color w:val="D40032"/>
          <w:sz w:val="24"/>
          <w:szCs w:val="24"/>
        </w:rPr>
        <w:t xml:space="preserve"> </w:t>
      </w:r>
      <w:r w:rsidRPr="00DE50B0" w:rsidR="009A7C9D">
        <w:rPr>
          <w:rFonts w:cs="Arial"/>
          <w:b w:val="0"/>
          <w:bCs w:val="0"/>
          <w:color w:val="D40032"/>
          <w:sz w:val="24"/>
          <w:szCs w:val="24"/>
        </w:rPr>
        <w:t>2024</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9A7C9D">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bookmarkStart w:id="4" w:name="Table_2"/>
            <w:r w:rsidRPr="00DE50B0">
              <w:rPr>
                <w:bCs w:val="0"/>
                <w:szCs w:val="22"/>
              </w:rPr>
              <w:t>Revenue</w:t>
            </w:r>
          </w:p>
        </w:tc>
        <w:tc>
          <w:tcPr>
            <w:tcW w:w="1425" w:type="pct"/>
            <w:tcBorders>
              <w:left w:val="single" w:sz="4" w:space="0" w:color="FFFFFF" w:themeColor="background1"/>
              <w:bottom w:val="single" w:sz="4"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rsidRPr="00DE50B0">
            <w:pPr>
              <w:pStyle w:val="Normal0"/>
              <w:jc w:val="right"/>
            </w:pPr>
            <w:r>
              <w:t>$2,275,952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Provided DET Grants</w:t>
            </w:r>
          </w:p>
        </w:tc>
        <w:tc>
          <w:tcPr>
            <w:tcW w:w="1425" w:type="pct"/>
            <w:shd w:val="clear" w:color="auto" w:fill="F2F2F2" w:themeFill="background1" w:themeFillShade="F2"/>
            <w:noWrap/>
            <w:vAlign w:val="center"/>
          </w:tcPr>
          <w:p w:rsidR="009E6D61" w:rsidRPr="00DE50B0">
            <w:pPr>
              <w:pStyle w:val="Normal0"/>
              <w:jc w:val="right"/>
            </w:pPr>
            <w:r>
              <w:t>$253,739</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Government Grants Commonwealth</w:t>
            </w:r>
          </w:p>
        </w:tc>
        <w:tc>
          <w:tcPr>
            <w:tcW w:w="1425" w:type="pct"/>
            <w:shd w:val="clear" w:color="auto" w:fill="D9D9D9" w:themeFill="background1" w:themeFillShade="D9"/>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rsidRPr="00DE50B0">
            <w:pPr>
              <w:pStyle w:val="Normal0"/>
              <w:spacing w:before="40" w:after="40" w:line="240" w:lineRule="auto"/>
              <w:rPr>
                <w:b w:val="0"/>
                <w:szCs w:val="22"/>
              </w:rPr>
            </w:pPr>
            <w:r w:rsidRPr="00DE50B0">
              <w:rPr>
                <w:b w:val="0"/>
                <w:szCs w:val="22"/>
              </w:rPr>
              <w:t>Government Grants State</w:t>
            </w:r>
          </w:p>
        </w:tc>
        <w:tc>
          <w:tcPr>
            <w:tcW w:w="1425" w:type="pct"/>
            <w:shd w:val="clear" w:color="auto" w:fill="F2F2F2" w:themeFill="background1" w:themeFillShade="F2"/>
            <w:noWrap/>
            <w:vAlign w:val="center"/>
          </w:tcPr>
          <w:p w:rsidR="009E6D61" w:rsidRPr="00DE50B0">
            <w:pPr>
              <w:pStyle w:val="Normal0"/>
              <w:jc w:val="right"/>
            </w:pPr>
            <w:r>
              <w:t>$0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bCs w:val="0"/>
                <w:szCs w:val="22"/>
              </w:rPr>
              <w:t>Revenue Other</w:t>
            </w:r>
          </w:p>
        </w:tc>
        <w:tc>
          <w:tcPr>
            <w:tcW w:w="1425" w:type="pct"/>
            <w:shd w:val="clear" w:color="auto" w:fill="D9D9D9" w:themeFill="background1" w:themeFillShade="D9"/>
            <w:noWrap/>
            <w:vAlign w:val="center"/>
          </w:tcPr>
          <w:p w:rsidR="009E6D61" w:rsidRPr="00DE50B0">
            <w:pPr>
              <w:pStyle w:val="Normal0"/>
              <w:jc w:val="right"/>
            </w:pPr>
            <w:r>
              <w:t>$33,952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bCs w:val="0"/>
                <w:szCs w:val="22"/>
              </w:rPr>
              <w:t>Locally Raised Funds</w:t>
            </w:r>
          </w:p>
        </w:tc>
        <w:tc>
          <w:tcPr>
            <w:tcW w:w="1425" w:type="pct"/>
            <w:shd w:val="clear" w:color="auto" w:fill="F2F2F2" w:themeFill="background1" w:themeFillShade="F2"/>
            <w:noWrap/>
            <w:vAlign w:val="center"/>
          </w:tcPr>
          <w:p w:rsidR="009E6D61" w:rsidRPr="00DE50B0">
            <w:pPr>
              <w:pStyle w:val="Normal0"/>
              <w:jc w:val="right"/>
            </w:pPr>
            <w:r>
              <w:t>$137,754</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DE50B0">
            <w:pPr>
              <w:pStyle w:val="Normal0"/>
              <w:spacing w:before="40" w:after="40" w:line="240" w:lineRule="auto"/>
              <w:rPr>
                <w:b w:val="0"/>
                <w:szCs w:val="22"/>
              </w:rPr>
            </w:pPr>
            <w:r w:rsidRPr="00DE50B0">
              <w:rPr>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rsidRPr="00DE50B0">
            <w:pPr>
              <w:pStyle w:val="Normal0"/>
              <w:jc w:val="right"/>
            </w:pPr>
            <w:r>
              <w:t>$0</w:t>
            </w:r>
          </w:p>
        </w:tc>
      </w:tr>
      <w:tr w:rsidTr="009A7C9D">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Operating Revenue</w:t>
            </w:r>
          </w:p>
        </w:tc>
        <w:tc>
          <w:tcPr>
            <w:tcW w:w="1425" w:type="pct"/>
            <w:tcBorders>
              <w:top w:val="single" w:sz="4" w:space="0" w:color="FFFFFF" w:themeColor="background1"/>
              <w:left w:val="single" w:sz="4"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$2,701,397</w:t>
            </w:r>
          </w:p>
        </w:tc>
      </w:tr>
    </w:tbl>
    <w:p w:rsidR="009E6D61" w:rsidRPr="00DE50B0" w:rsidP="0099239B">
      <w:pPr>
        <w:pStyle w:val="ESBodyText"/>
        <w:spacing w:before="120" w:line="240" w:lineRule="auto"/>
      </w:pPr>
      <w:bookmarkEnd w:id="4"/>
    </w:p>
    <w:tbl>
      <w:tblPr>
        <w:tblStyle w:val="GridTable2-Accent612"/>
        <w:tblCaption w:val="FInance - Equity table"/>
        <w:tblW w:w="2876" w:type="pct"/>
        <w:jc w:val="center"/>
        <w:tblLook w:val="04A0"/>
      </w:tblPr>
      <w:tblGrid>
        <w:gridCol w:w="4428"/>
        <w:gridCol w:w="1765"/>
      </w:tblGrid>
      <w:tr w:rsidTr="003D2F48">
        <w:tblPrEx>
          <w:tblW w:w="2876" w:type="pct"/>
          <w:jc w:val="center"/>
          <w:tblLook w:val="04A0"/>
        </w:tblPrEx>
        <w:trPr>
          <w:trHeight w:hRule="exact" w:val="284"/>
          <w:tblHeader/>
          <w:jc w:val="center"/>
        </w:trPr>
        <w:tc>
          <w:tcPr>
            <w:tcW w:w="3575"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spacing w:before="40" w:after="40" w:line="240" w:lineRule="auto"/>
              <w:rPr>
                <w:bCs w:val="0"/>
                <w:szCs w:val="22"/>
                <w:vertAlign w:val="superscript"/>
              </w:rPr>
            </w:pPr>
            <w:r w:rsidRPr="00DE50B0">
              <w:rPr>
                <w:bCs w:val="0"/>
                <w:szCs w:val="22"/>
              </w:rPr>
              <w:t xml:space="preserve">Equity </w:t>
            </w:r>
            <w:r w:rsidRPr="00DE50B0">
              <w:rPr>
                <w:bCs w:val="0"/>
                <w:szCs w:val="22"/>
                <w:vertAlign w:val="superscript"/>
              </w:rPr>
              <w:t>1</w:t>
            </w:r>
          </w:p>
        </w:tc>
        <w:tc>
          <w:tcPr>
            <w:tcW w:w="1425" w:type="pct"/>
            <w:tcBorders>
              <w:left w:val="single" w:sz="8" w:space="0" w:color="FFFFFF" w:themeColor="background1"/>
              <w:bottom w:val="single" w:sz="8" w:space="0" w:color="FFFFFF" w:themeColor="background1"/>
            </w:tcBorders>
            <w:shd w:val="clear" w:color="auto" w:fill="D40032"/>
            <w:noWrap/>
            <w:vAlign w:val="center"/>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Equity (Social Disadvantage)</w:t>
            </w:r>
          </w:p>
        </w:tc>
        <w:tc>
          <w:tcPr>
            <w:tcW w:w="1425"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$47,746</w:t>
            </w:r>
          </w:p>
        </w:tc>
      </w:tr>
      <w:tr w:rsidTr="003D2F48">
        <w:tblPrEx>
          <w:tblW w:w="2876" w:type="pct"/>
          <w:jc w:val="center"/>
          <w:tblLook w:val="04A0"/>
        </w:tblPrEx>
        <w:trPr>
          <w:trHeight w:hRule="exact" w:val="284"/>
          <w:jc w:val="center"/>
        </w:trPr>
        <w:tc>
          <w:tcPr>
            <w:tcW w:w="3575"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Equity (Catch Up)</w:t>
            </w:r>
          </w:p>
        </w:tc>
        <w:tc>
          <w:tcPr>
            <w:tcW w:w="1425"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nil"/>
              <w:bottom w:val="single" w:sz="8" w:space="0" w:color="FFFFFF" w:themeColor="background1"/>
              <w:right w:val="nil"/>
            </w:tcBorders>
            <w:shd w:val="clear" w:color="auto" w:fill="D9D9D9" w:themeFill="background1" w:themeFillShade="D9"/>
            <w:noWrap/>
            <w:vAlign w:val="center"/>
          </w:tcPr>
          <w:p w:rsidR="009E6D61" w:rsidRPr="00DE50B0" w:rsidP="00243D95">
            <w:pPr>
              <w:pStyle w:val="Normal0"/>
              <w:spacing w:before="40" w:after="40" w:line="240" w:lineRule="auto"/>
              <w:rPr>
                <w:b w:val="0"/>
                <w:szCs w:val="22"/>
              </w:rPr>
            </w:pPr>
            <w:r w:rsidRPr="00DE50B0">
              <w:rPr>
                <w:b w:val="0"/>
                <w:szCs w:val="22"/>
              </w:rPr>
              <w:t>Equity (Social Disadvantage – Extraordinary Growth)</w:t>
            </w:r>
          </w:p>
          <w:p w:rsidR="009E6D61" w:rsidRPr="00DE50B0">
            <w:pPr>
              <w:pStyle w:val="Normal0"/>
              <w:spacing w:before="40" w:after="40" w:line="240" w:lineRule="auto"/>
              <w:rPr>
                <w:color w:val="FFFFFF"/>
                <w:szCs w:val="22"/>
              </w:rPr>
            </w:pPr>
          </w:p>
        </w:tc>
        <w:tc>
          <w:tcPr>
            <w:tcW w:w="1425"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3D2F48">
        <w:tblPrEx>
          <w:tblW w:w="2876" w:type="pct"/>
          <w:jc w:val="center"/>
          <w:tblLook w:val="04A0"/>
        </w:tblPrEx>
        <w:trPr>
          <w:trHeight w:hRule="exact" w:val="284"/>
          <w:jc w:val="center"/>
        </w:trPr>
        <w:tc>
          <w:tcPr>
            <w:tcW w:w="357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rsidP="00243D95">
            <w:pPr>
              <w:pStyle w:val="Normal0"/>
              <w:spacing w:before="40" w:after="40" w:line="240" w:lineRule="auto"/>
              <w:rPr>
                <w:szCs w:val="22"/>
              </w:rPr>
            </w:pPr>
            <w:r w:rsidRPr="00DE50B0">
              <w:rPr>
                <w:szCs w:val="22"/>
              </w:rPr>
              <w:t>Equity Total</w:t>
            </w:r>
          </w:p>
        </w:tc>
        <w:tc>
          <w:tcPr>
            <w:tcW w:w="1425"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$47,746</w:t>
            </w:r>
          </w:p>
        </w:tc>
      </w:tr>
    </w:tbl>
    <w:p w:rsidR="009E6D61" w:rsidRPr="00DE50B0" w:rsidP="0099239B">
      <w:pPr>
        <w:pStyle w:val="ESBodyText"/>
        <w:spacing w:before="120" w:line="240" w:lineRule="auto"/>
      </w:pPr>
    </w:p>
    <w:tbl>
      <w:tblPr>
        <w:tblStyle w:val="GridTable2-Accent612"/>
        <w:tblCaption w:val="Finance - Expenditure table"/>
        <w:tblW w:w="2876" w:type="pct"/>
        <w:jc w:val="center"/>
        <w:tblLook w:val="04A0"/>
      </w:tblPr>
      <w:tblGrid>
        <w:gridCol w:w="4386"/>
        <w:gridCol w:w="1795"/>
      </w:tblGrid>
      <w:tr w:rsidTr="009A7C9D">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vertAlign w:val="superscript"/>
              </w:rPr>
            </w:pPr>
            <w:r w:rsidRPr="00DE50B0">
              <w:rPr>
                <w:b w:val="0"/>
                <w:szCs w:val="22"/>
              </w:rPr>
              <w:t xml:space="preserve">Student Resource Package </w:t>
            </w:r>
            <w:r w:rsidRPr="00DE50B0">
              <w:rPr>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$2,280,347</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szCs w:val="22"/>
              </w:rPr>
            </w:pPr>
            <w:r w:rsidRPr="00DE50B0">
              <w:rPr>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$4,262</w:t>
            </w:r>
          </w:p>
        </w:tc>
      </w:tr>
      <w:tr>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RPr="00DE50B0">
            <w:pPr>
              <w:pStyle w:val="Normal0"/>
              <w:spacing w:before="40" w:after="40" w:line="240" w:lineRule="auto"/>
              <w:rPr>
                <w:b w:val="0"/>
                <w:bCs w:val="0"/>
                <w:szCs w:val="22"/>
              </w:rPr>
            </w:pPr>
            <w:r w:rsidRPr="00DE50B0">
              <w:rPr>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RPr="00DE50B0">
            <w:pPr>
              <w:pStyle w:val="Normal0"/>
              <w:jc w:val="right"/>
            </w:pPr>
            <w:r>
              <w:t>$47,834</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rPr>
            </w:pPr>
            <w:r w:rsidRPr="00DE50B0">
              <w:rPr>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$3,855</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$32,707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bCs w:val="0"/>
                <w:szCs w:val="22"/>
                <w:vertAlign w:val="superscript"/>
              </w:rPr>
            </w:pPr>
            <w:r w:rsidRPr="00DE50B0">
              <w:rPr>
                <w:b w:val="0"/>
                <w:bCs w:val="0"/>
                <w:szCs w:val="22"/>
              </w:rPr>
              <w:t xml:space="preserve">Miscellaneous Expense </w:t>
            </w:r>
            <w:r w:rsidRPr="00DE50B0">
              <w:rPr>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rsidRPr="00DE50B0">
            <w:pPr>
              <w:pStyle w:val="Normal0"/>
              <w:jc w:val="right"/>
            </w:pPr>
            <w:r>
              <w:t>$20,177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bCs w:val="0"/>
                <w:szCs w:val="22"/>
              </w:rPr>
            </w:pPr>
            <w:r w:rsidRPr="00DE50B0">
              <w:rPr>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rsidRPr="00DE50B0">
            <w:pPr>
              <w:pStyle w:val="Normal0"/>
              <w:jc w:val="right"/>
            </w:pPr>
            <w:r>
              <w:t>$7,022</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RPr="00DE50B0">
            <w:pPr>
              <w:pStyle w:val="Normal0"/>
              <w:spacing w:before="40" w:after="40" w:line="240" w:lineRule="auto"/>
              <w:rPr>
                <w:b w:val="0"/>
                <w:szCs w:val="22"/>
              </w:rPr>
            </w:pPr>
            <w:r w:rsidRPr="00DE50B0">
              <w:rPr>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RPr="00DE50B0">
            <w:pPr>
              <w:pStyle w:val="Normal0"/>
              <w:jc w:val="right"/>
            </w:pPr>
            <w:r>
              <w:t>$34,591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rsidRPr="00DE50B0">
            <w:pPr>
              <w:pStyle w:val="Normal0"/>
              <w:jc w:val="right"/>
            </w:pPr>
            <w:r>
              <w:t>$85,167</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vertAlign w:val="superscript"/>
              </w:rPr>
            </w:pPr>
            <w:r w:rsidRPr="00DE50B0">
              <w:rPr>
                <w:b w:val="0"/>
                <w:szCs w:val="22"/>
              </w:rPr>
              <w:t xml:space="preserve">Salaries &amp; Allowances </w:t>
            </w:r>
            <w:r w:rsidRPr="00DE50B0">
              <w:rPr>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$121,956</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rsidRPr="00DE50B0">
            <w:pPr>
              <w:pStyle w:val="Normal0"/>
              <w:spacing w:before="40" w:after="40" w:line="240" w:lineRule="auto"/>
              <w:rPr>
                <w:szCs w:val="22"/>
              </w:rPr>
            </w:pPr>
            <w:r w:rsidRPr="00DE50B0">
              <w:rPr>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rsidRPr="00DE50B0">
            <w:pPr>
              <w:pStyle w:val="Normal0"/>
              <w:jc w:val="right"/>
            </w:pPr>
            <w:r>
              <w:t>$10,731</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$33,888</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RPr="00DE50B0">
            <w:pPr>
              <w:pStyle w:val="Normal0"/>
              <w:spacing w:before="40" w:after="40" w:line="240" w:lineRule="auto"/>
              <w:rPr>
                <w:b w:val="0"/>
                <w:szCs w:val="22"/>
              </w:rPr>
            </w:pPr>
            <w:r w:rsidRPr="00DE50B0">
              <w:rPr>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rsidRPr="00DE50B0">
            <w:pPr>
              <w:pStyle w:val="Normal0"/>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rsidRPr="00DE50B0">
            <w:pPr>
              <w:pStyle w:val="Normal0"/>
              <w:jc w:val="right"/>
            </w:pPr>
            <w:r>
              <w:t>$29,015</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Total Operating Expenditure</w:t>
            </w:r>
          </w:p>
          <w:p w:rsidR="009E6D61" w:rsidRPr="00DE50B0">
            <w:pPr>
              <w:pStyle w:val="Normal0"/>
              <w:spacing w:before="40" w:after="40" w:line="240" w:lineRule="auto"/>
              <w:rPr>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$2,711,552</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D40032"/>
            <w:noWrap/>
          </w:tcPr>
          <w:p w:rsidR="009E6D61" w:rsidRPr="00DE50B0">
            <w:pPr>
              <w:pStyle w:val="Normal0"/>
              <w:jc w:val="right"/>
              <w:rPr>
                <w:b/>
                <w:bCs/>
                <w:color w:val="FFFFFF"/>
              </w:rPr>
            </w:pPr>
            <w:r>
              <w:rPr>
                <w:b/>
                <w:bCs/>
                <w:color w:val="FFFFFF"/>
              </w:rPr>
              <w:t>($10,155)</w:t>
            </w:r>
          </w:p>
        </w:tc>
      </w:tr>
      <w:tr w:rsidTr="009A7C9D">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DE50B0">
            <w:pPr>
              <w:pStyle w:val="Normal0"/>
              <w:rPr>
                <w:szCs w:val="22"/>
              </w:rPr>
            </w:pPr>
            <w:r w:rsidRPr="00DE50B0">
              <w:rPr>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D40032"/>
            <w:noWrap/>
          </w:tcPr>
          <w:p w:rsidR="009E6D61" w:rsidRPr="00DE50B0">
            <w:pPr>
              <w:pStyle w:val="Normal0"/>
              <w:jc w:val="right"/>
              <w:rPr>
                <w:b/>
                <w:bCs/>
                <w:color w:val="FFFFFF"/>
              </w:rPr>
            </w:pPr>
            <w:r>
              <w:rPr>
                <w:b/>
                <w:bCs/>
                <w:color w:val="FFFFFF"/>
              </w:rPr>
              <w:t>$93,729</w:t>
            </w:r>
          </w:p>
        </w:tc>
      </w:tr>
    </w:tbl>
    <w:p w:rsidR="000C0E44" w:rsidRPr="00DE50B0" w:rsidP="000C0E44">
      <w:pPr>
        <w:pStyle w:val="ESBodyText"/>
        <w:numPr>
          <w:ilvl w:val="0"/>
          <w:numId w:val="30"/>
        </w:numPr>
      </w:pPr>
      <w:r w:rsidRPr="00DE50B0">
        <w:t>The equity funding reported above is a subset of the overall revenue reported by the school.</w:t>
      </w:r>
    </w:p>
    <w:p w:rsidR="000C0E44" w:rsidRPr="00DE50B0" w:rsidP="000C0E44">
      <w:pPr>
        <w:pStyle w:val="ESBodyText"/>
        <w:numPr>
          <w:ilvl w:val="0"/>
          <w:numId w:val="30"/>
        </w:numPr>
      </w:pPr>
      <w:r w:rsidRPr="00DE50B0">
        <w:t xml:space="preserve">Student Resource Package Expenditure figures are as of </w:t>
      </w:r>
      <w:r>
        <w:t>16 Feb 2025</w:t>
      </w:r>
      <w:r w:rsidRPr="00DE50B0">
        <w:t xml:space="preserve"> and are subject to change during the reconciliation process.</w:t>
      </w:r>
    </w:p>
    <w:p w:rsidR="000C0E44" w:rsidRPr="00DE50B0" w:rsidP="000C0E44">
      <w:pPr>
        <w:pStyle w:val="ESBodyText"/>
        <w:numPr>
          <w:ilvl w:val="0"/>
          <w:numId w:val="30"/>
        </w:numPr>
      </w:pPr>
      <w:r w:rsidRPr="00DE50B0">
        <w:t>Miscellaneous Expenses include bank charges, administration expenses, insurance and taxation charges.</w:t>
      </w:r>
    </w:p>
    <w:p w:rsidR="00E64389" w:rsidRPr="00E64389" w:rsidP="001D0B7C">
      <w:pPr>
        <w:pStyle w:val="ESBodyText"/>
        <w:numPr>
          <w:ilvl w:val="0"/>
          <w:numId w:val="30"/>
        </w:numPr>
        <w:spacing w:after="0" w:line="240" w:lineRule="auto"/>
        <w:rPr>
          <w:rFonts w:eastAsia="ＭＳ ゴシック"/>
          <w:caps/>
          <w:sz w:val="20"/>
          <w:szCs w:val="20"/>
        </w:rPr>
      </w:pPr>
      <w:r w:rsidRPr="00DE50B0">
        <w:t>Salaries and Allowances refers to school-level payroll.</w:t>
      </w:r>
    </w:p>
    <w:p w:rsidR="00CC55EF" w:rsidP="002C3287">
      <w:pPr>
        <w:pStyle w:val="ESBodyText"/>
        <w:spacing w:after="0" w:line="240" w:lineRule="auto"/>
        <w:ind w:left="360"/>
      </w:pPr>
    </w:p>
    <w:p w:rsidR="00CC55EF">
      <w:pPr>
        <w:pStyle w:val="Normal0"/>
        <w:spacing w:after="0" w:line="240" w:lineRule="auto"/>
      </w:pPr>
      <w:r>
        <w:br w:type="page"/>
      </w:r>
    </w:p>
    <w:p w:rsidR="009E6D61" w:rsidRPr="00C92286" w:rsidP="002C3287">
      <w:pPr>
        <w:pStyle w:val="ESBodyText"/>
        <w:spacing w:after="0" w:line="240" w:lineRule="auto"/>
        <w:ind w:left="360"/>
        <w:rPr>
          <w:rFonts w:eastAsia="ＭＳ ゴシック"/>
          <w:caps/>
          <w:sz w:val="20"/>
          <w:szCs w:val="20"/>
        </w:rPr>
      </w:pPr>
      <w:r w:rsidRPr="00C92286">
        <w:rPr>
          <w:rFonts w:eastAsia="ＭＳ ゴシック"/>
          <w:caps/>
          <w:color w:val="D40032"/>
          <w:sz w:val="24"/>
          <w:szCs w:val="24"/>
        </w:rPr>
        <w:t xml:space="preserve">FINANCIAL POSITION AS AT 31 DECEMBER </w:t>
      </w:r>
      <w:r w:rsidRPr="00C92286" w:rsidR="009A7C9D">
        <w:rPr>
          <w:rFonts w:eastAsia="ＭＳ ゴシック"/>
          <w:caps/>
          <w:color w:val="D40032"/>
          <w:sz w:val="24"/>
          <w:szCs w:val="24"/>
        </w:rPr>
        <w:t>2024</w:t>
      </w:r>
    </w:p>
    <w:p w:rsidR="00141505" w:rsidRPr="00DE50B0" w:rsidP="00141505">
      <w:pPr>
        <w:pStyle w:val="ESBodyText"/>
        <w:spacing w:after="0" w:line="240" w:lineRule="auto"/>
        <w:ind w:left="360"/>
        <w:rPr>
          <w:rFonts w:eastAsia="ＭＳ ゴシック"/>
          <w:caps/>
          <w:sz w:val="20"/>
          <w:szCs w:val="20"/>
        </w:rPr>
      </w:pPr>
    </w:p>
    <w:tbl>
      <w:tblPr>
        <w:tblStyle w:val="GridTable2-Accent612"/>
        <w:tblCaption w:val="Fund available"/>
        <w:tblW w:w="2876" w:type="pct"/>
        <w:jc w:val="center"/>
        <w:tblLook w:val="04A0"/>
      </w:tblPr>
      <w:tblGrid>
        <w:gridCol w:w="4395"/>
        <w:gridCol w:w="1798"/>
      </w:tblGrid>
      <w:tr w:rsidTr="009A7C9D">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Funds available</w:t>
            </w:r>
          </w:p>
        </w:tc>
        <w:tc>
          <w:tcPr>
            <w:tcW w:w="1452"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$67,157</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rsidRPr="00DE50B0">
            <w:pPr>
              <w:pStyle w:val="Normal0"/>
              <w:spacing w:before="40" w:after="40" w:line="240" w:lineRule="auto"/>
              <w:rPr>
                <w:b w:val="0"/>
                <w:szCs w:val="22"/>
              </w:rPr>
            </w:pPr>
            <w:r w:rsidRPr="00DE50B0">
              <w:rPr>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rsidRPr="00DE50B0">
            <w:pPr>
              <w:pStyle w:val="Normal0"/>
              <w:jc w:val="right"/>
            </w:pPr>
            <w:r>
              <w:t>$8,154</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rsidRPr="00DE50B0">
            <w:pPr>
              <w:pStyle w:val="Normal0"/>
              <w:spacing w:before="40" w:after="40" w:line="240" w:lineRule="auto"/>
              <w:rPr>
                <w:b w:val="0"/>
                <w:szCs w:val="22"/>
              </w:rPr>
            </w:pPr>
            <w:r w:rsidRPr="00DE50B0">
              <w:rPr>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D40032"/>
            <w:noWrap/>
            <w:vAlign w:val="center"/>
          </w:tcPr>
          <w:p w:rsidR="009E6D61" w:rsidRPr="00DE50B0">
            <w:pPr>
              <w:pStyle w:val="Normal0"/>
              <w:jc w:val="right"/>
              <w:rPr>
                <w:b/>
                <w:bCs/>
                <w:color w:val="FFFFFF"/>
              </w:rPr>
            </w:pPr>
            <w:r>
              <w:rPr>
                <w:b/>
                <w:bCs/>
                <w:color w:val="FFFFFF"/>
              </w:rPr>
              <w:t>$75,311</w:t>
            </w:r>
          </w:p>
        </w:tc>
      </w:tr>
    </w:tbl>
    <w:p w:rsidR="009E6D61" w:rsidRPr="00DE50B0" w:rsidP="0099239B">
      <w:pPr>
        <w:pStyle w:val="ESBodyText"/>
        <w:spacing w:before="120" w:line="240" w:lineRule="auto"/>
      </w:pPr>
    </w:p>
    <w:tbl>
      <w:tblPr>
        <w:tblStyle w:val="GridTable2-Accent612"/>
        <w:tblCaption w:val="Fund available"/>
        <w:tblW w:w="2876" w:type="pct"/>
        <w:jc w:val="center"/>
        <w:tblLook w:val="04A0"/>
      </w:tblPr>
      <w:tblGrid>
        <w:gridCol w:w="4396"/>
        <w:gridCol w:w="1797"/>
      </w:tblGrid>
      <w:tr w:rsidTr="009A7C9D">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DE50B0">
            <w:pPr>
              <w:pStyle w:val="Normal0"/>
              <w:spacing w:before="40" w:after="40" w:line="240" w:lineRule="auto"/>
              <w:rPr>
                <w:bCs w:val="0"/>
                <w:szCs w:val="22"/>
              </w:rPr>
            </w:pPr>
            <w:r w:rsidRPr="00DE50B0">
              <w:rPr>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D40032"/>
            <w:vAlign w:val="center"/>
            <w:hideMark/>
          </w:tcPr>
          <w:p w:rsidR="009E6D61" w:rsidRPr="00DE50B0">
            <w:pPr>
              <w:pStyle w:val="Normal0"/>
              <w:spacing w:before="40" w:after="40" w:line="240" w:lineRule="auto"/>
              <w:jc w:val="right"/>
              <w:rPr>
                <w:bCs w:val="0"/>
                <w:color w:val="FFFFFF"/>
                <w:szCs w:val="22"/>
              </w:rPr>
            </w:pPr>
            <w:r w:rsidRPr="00DE50B0">
              <w:rPr>
                <w:bCs w:val="0"/>
                <w:color w:val="FFFFFF"/>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rsidRPr="00DE50B0">
            <w:pPr>
              <w:pStyle w:val="Normal0"/>
              <w:spacing w:before="40" w:after="40" w:line="240" w:lineRule="auto"/>
              <w:rPr>
                <w:b w:val="0"/>
                <w:szCs w:val="22"/>
              </w:rPr>
            </w:pPr>
            <w:r w:rsidRPr="00DE50B0">
              <w:rPr>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rsidRPr="00DE50B0">
            <w:pPr>
              <w:pStyle w:val="Normal0"/>
              <w:jc w:val="right"/>
            </w:pPr>
            <w:r>
              <w:t>$71,868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$36,663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bCs w:val="0"/>
                <w:szCs w:val="22"/>
              </w:rPr>
            </w:pPr>
            <w:r w:rsidRPr="00DE50B0">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rsidRPr="00DE50B0">
            <w:pPr>
              <w:pStyle w:val="Normal0"/>
              <w:spacing w:before="40" w:after="40" w:line="240" w:lineRule="auto"/>
              <w:rPr>
                <w:b w:val="0"/>
                <w:szCs w:val="22"/>
              </w:rPr>
            </w:pPr>
            <w:r w:rsidRPr="00DE50B0">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rsidRPr="00DE50B0">
            <w:pPr>
              <w:pStyle w:val="Normal0"/>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rsidRPr="00DE50B0">
            <w:pPr>
              <w:pStyle w:val="Normal0"/>
              <w:spacing w:before="40" w:after="40" w:line="240" w:lineRule="auto"/>
              <w:rPr>
                <w:b w:val="0"/>
                <w:szCs w:val="22"/>
              </w:rPr>
            </w:pPr>
            <w:r w:rsidRPr="00DE50B0">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rsidRPr="00DE50B0">
            <w:pPr>
              <w:pStyle w:val="Normal0"/>
              <w:jc w:val="right"/>
            </w:pPr>
            <w:r>
              <w:t>$0</w:t>
            </w:r>
          </w:p>
        </w:tc>
      </w:tr>
      <w:tr w:rsidTr="009A7C9D">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DE50B0">
            <w:pPr>
              <w:pStyle w:val="Normal0"/>
              <w:spacing w:before="40" w:after="40" w:line="240" w:lineRule="auto"/>
              <w:rPr>
                <w:szCs w:val="22"/>
              </w:rPr>
            </w:pPr>
            <w:r w:rsidRPr="00DE50B0">
              <w:rPr>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D40032"/>
            <w:noWrap/>
            <w:vAlign w:val="center"/>
          </w:tcPr>
          <w:p w:rsidR="009E6D61" w:rsidRPr="00DE50B0">
            <w:pPr>
              <w:pStyle w:val="Normal0"/>
              <w:jc w:val="right"/>
              <w:rPr>
                <w:b/>
                <w:bCs/>
                <w:color w:val="FFFFFF"/>
              </w:rPr>
            </w:pPr>
            <w:r>
              <w:rPr>
                <w:b/>
                <w:bCs/>
                <w:color w:val="FFFFFF"/>
              </w:rPr>
              <w:t>$108,530</w:t>
            </w:r>
          </w:p>
        </w:tc>
      </w:tr>
    </w:tbl>
    <w:p w:rsidR="009E6D61" w:rsidRPr="00DE50B0" w:rsidP="000C0E44">
      <w:pPr>
        <w:pStyle w:val="ESBodyText"/>
        <w:spacing w:before="120" w:line="240" w:lineRule="auto"/>
      </w:pPr>
    </w:p>
    <w:p w:rsidR="009E6D61" w:rsidRPr="00DE50B0">
      <w:pPr>
        <w:pStyle w:val="ESBodyText"/>
        <w:rPr>
          <w:i/>
        </w:rPr>
      </w:pPr>
      <w:r w:rsidRPr="00DE50B0">
        <w:rPr>
          <w:i/>
        </w:rPr>
        <w:t>All funds received from the Department</w:t>
      </w:r>
      <w:r w:rsidRPr="00DE50B0" w:rsidR="00170DE8">
        <w:rPr>
          <w:i/>
        </w:rPr>
        <w:t xml:space="preserve"> of Education</w:t>
      </w:r>
      <w:r w:rsidRPr="00DE50B0">
        <w:rPr>
          <w:i/>
        </w:rPr>
        <w:t xml:space="preserve">, or raised by the school, have been expended, or committed to subsequent years, to support the achievement of educational outcomes and other operational needs of the school, consistent with </w:t>
      </w:r>
      <w:r w:rsidRPr="00DE50B0" w:rsidR="00170DE8">
        <w:rPr>
          <w:i/>
        </w:rPr>
        <w:t>d</w:t>
      </w:r>
      <w:r w:rsidRPr="00DE50B0">
        <w:rPr>
          <w:i/>
        </w:rPr>
        <w:t>epartment policies, School Council approvals and the intent/purposes for which funding was provided or raised.</w:t>
      </w:r>
    </w:p>
    <w:sectPr w:rsidSect="003108EF">
      <w:headerReference w:type="default" r:id="rId36"/>
      <w:footerReference w:type="default" r:id="rId37"/>
      <w:headerReference w:type="first" r:id="rId38"/>
      <w:type w:val="continuous"/>
      <w:pgSz w:w="11900" w:h="16840"/>
      <w:pgMar w:top="993" w:right="567" w:bottom="709" w:left="567" w:header="142" w:footer="21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B7B33"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4122842"/>
      <w:docPartObj>
        <w:docPartGallery w:val="Page Numbers (Bottom of Page)"/>
        <w:docPartUnique/>
      </w:docPartObj>
    </w:sdtPr>
    <w:sdtEndPr>
      <w:rPr>
        <w:color w:val="7F7F7F" w:themeColor="background1" w:themeShade="7F"/>
        <w:spacing w:val="60"/>
      </w:rPr>
    </w:sdtEndPr>
    <w:sdtContent>
      <w:p w:rsidR="00CB36E6" w:rsidP="00CB36E6">
        <w:pPr>
          <w:pStyle w:val="Footer"/>
          <w:pBdr>
            <w:top w:val="single" w:sz="4" w:space="1" w:color="D9D9D9" w:themeColor="background1" w:themeShade="D9"/>
          </w:pBdr>
          <w:rPr>
            <w:b/>
            <w:bCs/>
          </w:rPr>
        </w:pPr>
        <w:r w:rsidRPr="00963AD0">
          <w:rPr>
            <w:position w:val="20"/>
            <w:sz w:val="16"/>
            <w:szCs w:val="16"/>
          </w:rPr>
          <w:fldChar w:fldCharType="begin"/>
        </w:r>
        <w:r w:rsidRPr="00963AD0">
          <w:rPr>
            <w:position w:val="20"/>
            <w:sz w:val="16"/>
            <w:szCs w:val="16"/>
          </w:rPr>
          <w:instrText xml:space="preserve"> PAGE   \* MERGEFORMAT </w:instrText>
        </w:r>
        <w:r w:rsidRPr="00963AD0">
          <w:rPr>
            <w:position w:val="20"/>
            <w:sz w:val="16"/>
            <w:szCs w:val="16"/>
          </w:rPr>
          <w:fldChar w:fldCharType="separate"/>
        </w:r>
        <w:r>
          <w:rPr>
            <w:position w:val="20"/>
            <w:sz w:val="16"/>
            <w:szCs w:val="16"/>
          </w:rPr>
          <w:t>2</w:t>
        </w:r>
        <w:r w:rsidRPr="00963AD0">
          <w:rPr>
            <w:bCs/>
            <w:noProof/>
            <w:position w:val="20"/>
            <w:sz w:val="16"/>
            <w:szCs w:val="16"/>
          </w:rPr>
          <w:fldChar w:fldCharType="end"/>
        </w:r>
        <w:r w:rsidRPr="00963AD0">
          <w:rPr>
            <w:bCs/>
            <w:position w:val="20"/>
            <w:sz w:val="16"/>
            <w:szCs w:val="16"/>
          </w:rPr>
          <w:t xml:space="preserve"> </w:t>
        </w:r>
        <w:r w:rsidRPr="00963AD0">
          <w:rPr>
            <w:bCs/>
            <w:spacing w:val="-2"/>
            <w:position w:val="20"/>
            <w:sz w:val="16"/>
            <w:szCs w:val="16"/>
          </w:rPr>
          <w:t>|</w:t>
        </w:r>
        <w:r w:rsidRPr="00963AD0">
          <w:rPr>
            <w:spacing w:val="-2"/>
            <w:position w:val="20"/>
            <w:sz w:val="16"/>
            <w:szCs w:val="16"/>
          </w:rPr>
          <w:t>Department of Education</w:t>
        </w:r>
        <w:r w:rsidRPr="00963AD0">
          <w:rPr>
            <w:noProof/>
          </w:rPr>
          <w:t xml:space="preserve">           </w:t>
        </w:r>
        <w:r>
          <w:rPr>
            <w:noProof/>
          </w:rPr>
          <w:tab/>
          <w:t xml:space="preserve">                                                                                                           </w:t>
        </w:r>
        <w:r w:rsidR="003150F4">
          <w:rPr>
            <w:noProof/>
          </w:rPr>
          <w:t xml:space="preserve">  </w:t>
        </w:r>
        <w:r w:rsidR="00E31553">
          <w:rPr>
            <w:noProof/>
          </w:rPr>
          <w:t xml:space="preserve">                    </w:t>
        </w:r>
        <w:r>
          <w:rPr>
            <w:noProof/>
          </w:rPr>
          <w:drawing>
            <wp:inline distT="0" distB="0" distL="0" distR="0">
              <wp:extent cx="660400" cy="508000"/>
              <wp:effectExtent l="0" t="0" r="6350" b="6350"/>
              <wp:docPr id="519282739" name="Picture 1" descr="A black background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33183" name="Picture 1" descr="A black background with purple text&#10;&#10;AI-generated content may be incorrec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400" cy="508000"/>
                      </a:xfrm>
                      <a:prstGeom prst="rect">
                        <a:avLst/>
                      </a:prstGeom>
                      <a:noFill/>
                      <a:ln>
                        <a:noFill/>
                      </a:ln>
                    </pic:spPr>
                  </pic:pic>
                </a:graphicData>
              </a:graphic>
            </wp:inline>
          </w:drawing>
        </w:r>
      </w:p>
    </w:sdtContent>
  </w:sdt>
  <w:p w:rsidR="00BB7B33" w:rsidRPr="003E29B5" w:rsidP="00B07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0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b/>
        <w:bCs/>
      </w:rPr>
    </w:pPr>
    <w:sdt>
      <w:sdtPr>
        <w:id w:val="269937474"/>
        <w:docPartObj>
          <w:docPartGallery w:val="Page Numbers (Bottom of Page)"/>
          <w:docPartUnique/>
        </w:docPartObj>
      </w:sdtPr>
      <w:sdtEndPr>
        <w:rPr>
          <w:color w:val="7F7F7F" w:themeShade="7F"/>
          <w:spacing w:val="60"/>
        </w:rPr>
      </w:sdtEndPr>
      <w:sdtContent>
        <w:r w:rsidRPr="003D641B">
          <w:fldChar w:fldCharType="begin"/>
        </w:r>
        <w:r w:rsidRPr="003D641B">
          <w:instrText xml:space="preserve"> PAGE   \* MERGEFORMAT </w:instrText>
        </w:r>
        <w:r w:rsidRPr="003D641B">
          <w:fldChar w:fldCharType="separate"/>
        </w:r>
        <w:r w:rsidRPr="003D641B">
          <w:rPr>
            <w:b/>
            <w:bCs/>
            <w:noProof/>
          </w:rPr>
          <w:t>2</w:t>
        </w:r>
        <w:r w:rsidRPr="003D641B">
          <w:rPr>
            <w:b/>
            <w:bCs/>
            <w:noProof/>
          </w:rPr>
          <w:fldChar w:fldCharType="end"/>
        </w:r>
        <w:r w:rsidRPr="003D641B">
          <w:rPr>
            <w:b/>
            <w:bCs/>
          </w:rPr>
          <w:t xml:space="preserve"> | </w:t>
        </w:r>
        <w:r w:rsidRPr="003D641B">
          <w:rPr>
            <w:rStyle w:val="Body2Char0"/>
          </w:rPr>
          <w:t>Depart</w:t>
        </w:r>
        <w:r w:rsidRPr="003D641B" w:rsidR="00C762D4">
          <w:rPr>
            <w:rStyle w:val="Body2Char0"/>
          </w:rPr>
          <w:t>ment of Education</w:t>
        </w:r>
      </w:sdtContent>
    </w:sdt>
    <w:r w:rsidR="00316316">
      <w:rPr>
        <w:color w:val="7F7F7F" w:themeShade="7F"/>
        <w:spacing w:val="60"/>
      </w:rPr>
      <w:tab/>
    </w:r>
  </w:p>
  <w:p w:rsidR="005E4B2D">
    <w:pPr>
      <w:pStyle w:val="Footer2"/>
      <w:jc w:val="right"/>
    </w:pPr>
    <w:r>
      <w:rPr>
        <w:noProof/>
      </w:rPr>
      <w:drawing>
        <wp:anchor distT="0" distB="0" distL="114300" distR="114300" simplePos="0" relativeHeight="251666432"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84658376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0"/>
      <w:pBdr>
        <w:top w:val="single" w:sz="4" w:space="0" w:color="D9D9D9" w:themeColor="background1" w:themeShade="D9"/>
      </w:pBdr>
      <w:tabs>
        <w:tab w:val="clear" w:pos="4320"/>
        <w:tab w:val="center" w:pos="5383"/>
        <w:tab w:val="clear" w:pos="8640"/>
      </w:tabs>
      <w:rPr>
        <w:rStyle w:val="DefaultParagraphFont"/>
        <w:rFonts w:eastAsia="ＭＳ 明朝"/>
        <w:b/>
        <w:bCs/>
        <w:lang w:val="en-US" w:eastAsia="en-US" w:bidi="ar-SA"/>
      </w:rPr>
    </w:pPr>
    <w:sdt>
      <w:sdtPr>
        <w:id w:val="-1002740243"/>
        <w:docPartObj>
          <w:docPartGallery w:val="Page Numbers (Bottom of Page)"/>
          <w:docPartUnique/>
        </w:docPartObj>
      </w:sdtPr>
      <w:sdtEndPr>
        <w:rPr>
          <w:rStyle w:val="DefaultParagraphFont"/>
          <w:rFonts w:ascii="Cambria" w:eastAsia="ＭＳ 明朝" w:hAnsi="Cambria" w:cs="Times New Roman"/>
          <w:color w:val="7F7F7F" w:themeShade="7F"/>
          <w:spacing w:val="60"/>
          <w:sz w:val="24"/>
          <w:szCs w:val="24"/>
          <w:lang w:val="en-US" w:eastAsia="en-US" w:bidi="ar-SA"/>
        </w:rPr>
      </w:sdtEndPr>
      <w:sdtContent>
        <w:r w:rsidRPr="003D641B">
          <w:rPr>
            <w:rStyle w:val="DefaultParagraphFont"/>
            <w:rFonts w:eastAsia="ＭＳ 明朝"/>
            <w:lang w:val="en-US" w:eastAsia="en-US" w:bidi="ar-SA"/>
          </w:rPr>
          <w:fldChar w:fldCharType="begin"/>
        </w:r>
        <w:r w:rsidRPr="003D641B">
          <w:rPr>
            <w:rStyle w:val="DefaultParagraphFont"/>
            <w:rFonts w:eastAsia="ＭＳ 明朝"/>
            <w:lang w:val="en-US" w:eastAsia="en-US" w:bidi="ar-SA"/>
          </w:rPr>
          <w:instrText xml:space="preserve"> PAGE   \* MERGEFORMAT </w:instrText>
        </w:r>
        <w:r w:rsidRPr="003D641B">
          <w:rPr>
            <w:rStyle w:val="DefaultParagraphFont"/>
            <w:rFonts w:eastAsia="ＭＳ 明朝"/>
            <w:lang w:val="en-US" w:eastAsia="en-US" w:bidi="ar-SA"/>
          </w:rPr>
          <w:fldChar w:fldCharType="separate"/>
        </w:r>
        <w:r w:rsidRPr="003D641B">
          <w:rPr>
            <w:rStyle w:val="DefaultParagraphFont"/>
            <w:rFonts w:eastAsia="ＭＳ 明朝"/>
            <w:b/>
            <w:bCs/>
            <w:noProof/>
            <w:lang w:val="en-US" w:eastAsia="en-US" w:bidi="ar-SA"/>
          </w:rPr>
          <w:t>2</w:t>
        </w:r>
        <w:r w:rsidRPr="003D641B">
          <w:rPr>
            <w:rStyle w:val="DefaultParagraphFont"/>
            <w:rFonts w:eastAsia="ＭＳ 明朝"/>
            <w:b/>
            <w:bCs/>
            <w:noProof/>
            <w:lang w:val="en-US" w:eastAsia="en-US" w:bidi="ar-SA"/>
          </w:rPr>
          <w:fldChar w:fldCharType="end"/>
        </w:r>
        <w:r w:rsidRPr="003D641B">
          <w:rPr>
            <w:rStyle w:val="DefaultParagraphFont"/>
            <w:rFonts w:eastAsia="ＭＳ 明朝"/>
            <w:b/>
            <w:bCs/>
            <w:lang w:val="en-US" w:eastAsia="en-US" w:bidi="ar-SA"/>
          </w:rPr>
          <w:t xml:space="preserve"> | </w:t>
        </w:r>
        <w:r w:rsidRPr="003D641B">
          <w:rPr>
            <w:rStyle w:val="Body2Char"/>
            <w:rFonts w:eastAsia="ＭＳ 明朝"/>
            <w:lang w:val="en-US" w:eastAsia="en-US" w:bidi="ar-SA"/>
          </w:rPr>
          <w:t>Depart</w:t>
        </w:r>
        <w:r w:rsidRPr="003D641B" w:rsidR="00C762D4">
          <w:rPr>
            <w:rStyle w:val="Body2Char"/>
            <w:rFonts w:eastAsia="ＭＳ 明朝"/>
            <w:lang w:val="en-US" w:eastAsia="en-US" w:bidi="ar-SA"/>
          </w:rPr>
          <w:t>ment of Education</w:t>
        </w:r>
      </w:sdtContent>
    </w:sdt>
    <w:r w:rsidR="00316316">
      <w:rPr>
        <w:rStyle w:val="DefaultParagraphFont"/>
        <w:rFonts w:eastAsia="ＭＳ 明朝"/>
        <w:color w:val="7F7F7F" w:themeShade="7F"/>
        <w:spacing w:val="60"/>
        <w:lang w:val="en-US" w:eastAsia="en-US" w:bidi="ar-SA"/>
      </w:rPr>
      <w:tab/>
    </w:r>
  </w:p>
  <w:p w:rsidR="005E4B2D">
    <w:pPr>
      <w:pStyle w:val="Footer1"/>
      <w:jc w:val="right"/>
      <w:rPr>
        <w:rStyle w:val="DefaultParagraphFont"/>
        <w:rFonts w:eastAsia="ＭＳ 明朝"/>
        <w:lang w:val="en-US" w:eastAsia="en-US" w:bidi="ar-SA"/>
      </w:rPr>
    </w:pPr>
    <w:r>
      <w:rPr>
        <w:noProof/>
      </w:rPr>
      <w:drawing>
        <wp:anchor distT="0" distB="0" distL="114300" distR="114300" simplePos="0" relativeHeight="251667456"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900225324"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404" w:rsidRPr="003D641B" w:rsidP="00316316">
    <w:pPr>
      <w:pStyle w:val="Footer2"/>
      <w:pBdr>
        <w:top w:val="single" w:sz="4" w:space="0" w:color="D9D9D9" w:themeColor="background1" w:themeShade="D9"/>
      </w:pBdr>
      <w:tabs>
        <w:tab w:val="clear" w:pos="4320"/>
        <w:tab w:val="center" w:pos="5383"/>
        <w:tab w:val="clear" w:pos="8640"/>
      </w:tabs>
      <w:rPr>
        <w:rStyle w:val="DefaultParagraphFont"/>
        <w:b/>
        <w:bCs/>
      </w:rPr>
    </w:pPr>
    <w:sdt>
      <w:sdtPr>
        <w:id w:val="920851764"/>
        <w:docPartObj>
          <w:docPartGallery w:val="Page Numbers (Bottom of Page)"/>
          <w:docPartUnique/>
        </w:docPartObj>
      </w:sdtPr>
      <w:sdtEndPr>
        <w:rPr>
          <w:rStyle w:val="DefaultParagraphFont"/>
          <w:color w:val="7F7F7F" w:themeShade="7F"/>
          <w:spacing w:val="60"/>
        </w:rPr>
      </w:sdtEndPr>
      <w:sdtContent>
        <w:r w:rsidRPr="003D641B">
          <w:rPr>
            <w:rStyle w:val="DefaultParagraphFont"/>
          </w:rPr>
          <w:fldChar w:fldCharType="begin"/>
        </w:r>
        <w:r w:rsidRPr="003D641B">
          <w:rPr>
            <w:rStyle w:val="DefaultParagraphFont"/>
          </w:rPr>
          <w:instrText xml:space="preserve"> PAGE   \* MERGEFORMAT </w:instrText>
        </w:r>
        <w:r w:rsidRPr="003D641B">
          <w:rPr>
            <w:rStyle w:val="DefaultParagraphFont"/>
          </w:rPr>
          <w:fldChar w:fldCharType="separate"/>
        </w:r>
        <w:r w:rsidRPr="003D641B">
          <w:rPr>
            <w:rStyle w:val="DefaultParagraphFont"/>
            <w:b/>
            <w:bCs/>
            <w:noProof/>
          </w:rPr>
          <w:t>2</w:t>
        </w:r>
        <w:r w:rsidRPr="003D641B">
          <w:rPr>
            <w:rStyle w:val="DefaultParagraphFont"/>
            <w:b/>
            <w:bCs/>
            <w:noProof/>
          </w:rPr>
          <w:fldChar w:fldCharType="end"/>
        </w:r>
        <w:r w:rsidRPr="003D641B">
          <w:rPr>
            <w:rStyle w:val="DefaultParagraphFont"/>
            <w:b/>
            <w:bCs/>
          </w:rPr>
          <w:t xml:space="preserve"> | </w:t>
        </w:r>
        <w:r w:rsidRPr="003D641B">
          <w:rPr>
            <w:rStyle w:val="Body2Char0"/>
          </w:rPr>
          <w:t>Depart</w:t>
        </w:r>
        <w:r w:rsidRPr="003D641B" w:rsidR="00C762D4">
          <w:rPr>
            <w:rStyle w:val="Body2Char0"/>
          </w:rPr>
          <w:t>ment of Education</w:t>
        </w:r>
      </w:sdtContent>
    </w:sdt>
    <w:r w:rsidR="00316316">
      <w:rPr>
        <w:rStyle w:val="DefaultParagraphFont"/>
        <w:color w:val="7F7F7F" w:themeShade="7F"/>
        <w:spacing w:val="60"/>
      </w:rPr>
      <w:tab/>
    </w:r>
  </w:p>
  <w:p w:rsidR="005E4B2D">
    <w:pPr>
      <w:pStyle w:val="Footer2"/>
      <w:jc w:val="right"/>
      <w:rPr>
        <w:rStyle w:val="DefaultParagraphFont"/>
      </w:rPr>
    </w:pPr>
    <w:r>
      <w:rPr>
        <w:noProof/>
      </w:rPr>
      <w:drawing>
        <wp:anchor distT="0" distB="0" distL="114300" distR="114300" simplePos="0" relativeHeight="251668480" behindDoc="1" locked="1" layoutInCell="1" allowOverlap="1">
          <wp:simplePos x="0" y="0"/>
          <wp:positionH relativeFrom="column">
            <wp:posOffset>6305550</wp:posOffset>
          </wp:positionH>
          <wp:positionV relativeFrom="paragraph">
            <wp:posOffset>-190500</wp:posOffset>
          </wp:positionV>
          <wp:extent cx="658495" cy="500380"/>
          <wp:effectExtent l="0" t="0" r="1905" b="0"/>
          <wp:wrapNone/>
          <wp:docPr id="1077516906"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xmlns:r="http://schemas.openxmlformats.org/officeDocument/2006/relationships" r:embed="rId1">
                    <a:extLst>
                      <a:ext xmlns:a="http://schemas.openxmlformats.org/drawingml/2006/main" uri="{96DAC541-7B7A-43D3-8B79-37D633B846F1}">
                        <asvg:svgBlip xmlns:asvg="http://schemas.microsoft.com/office/drawing/2016/SVG/main" xmlns:r="http://schemas.openxmlformats.org/officeDocument/2006/relationships" r:embed="rId2"/>
                      </a:ext>
                    </a:extLst>
                  </a:blip>
                  <a:stretch>
                    <a:fillRect/>
                  </a:stretch>
                </pic:blipFill>
                <pic:spPr>
                  <a:xfrm>
                    <a:off x="0" y="0"/>
                    <a:ext cx="658495" cy="50038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052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sidP="000813BF">
    <w:pPr>
      <w:pStyle w:val="Header"/>
      <w:tabs>
        <w:tab w:val="clear" w:pos="4513"/>
        <w:tab w:val="clear" w:pos="9026"/>
      </w:tabs>
      <w:ind w:left="-562" w:right="259"/>
    </w:pPr>
    <w:r>
      <w:rPr>
        <w:noProof/>
      </w:rPr>
      <w:drawing>
        <wp:inline distT="0" distB="0" distL="0" distR="0">
          <wp:extent cx="7629525" cy="1038225"/>
          <wp:effectExtent l="0" t="0" r="9525" b="9525"/>
          <wp:docPr id="171596646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29525" cy="1038225"/>
                  </a:xfrm>
                  <a:prstGeom prst="rect">
                    <a:avLst/>
                  </a:prstGeom>
                </pic:spPr>
              </pic:pic>
            </a:graphicData>
          </a:graphic>
        </wp:inline>
      </w:drawing>
    </w:r>
    <w:r w:rsidRPr="000C104E">
      <w:rPr>
        <w:noProof/>
        <w:lang w:eastAsia="en-AU"/>
      </w:rPr>
      <w:drawing>
        <wp:anchor distT="0" distB="0" distL="114300" distR="114300" simplePos="0" relativeHeight="251671552"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881117455" name="Picture 188111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B33">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BB7B33"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pPr>
    <w:r>
      <w:rPr>
        <w:noProof/>
      </w:rPr>
      <w:drawing>
        <wp:anchor distT="0" distB="0" distL="114300" distR="114300" simplePos="0" relativeHeight="251662336"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93652749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noProof/>
        <w:color w:val="1F1646"/>
        <w:sz w:val="22"/>
        <w:lang w:val="en-AU" w:eastAsia="en-AU"/>
      </w:rPr>
      <w:t>Penders Grove Primary School</w:t>
    </w:r>
    <w:r w:rsidRPr="00DE50B0">
      <w:rPr>
        <w:noProof/>
        <w:color w:val="1F1646"/>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pPr>
    <w:r>
      <w:ptab w:relativeTo="margin" w:alignment="left" w:leader="none"/>
    </w:r>
  </w:p>
  <w:p w:rsidR="005E4B2D" w:rsidRPr="00DE50B0" w:rsidP="00FE7BAD">
    <w:pPr>
      <w:pStyle w:val="Header2"/>
      <w:tabs>
        <w:tab w:val="clear" w:pos="4513"/>
        <w:tab w:val="left" w:pos="9026"/>
      </w:tabs>
      <w:spacing w:before="480"/>
      <w:ind w:left="8640" w:hanging="3820"/>
      <w:jc w:val="right"/>
    </w:pPr>
    <w:r>
      <w:rPr>
        <w:noProof/>
        <w:color w:val="1F1646"/>
        <w:sz w:val="22"/>
        <w:lang w:val="en-AU" w:eastAsia="en-AU"/>
      </w:rPr>
      <w:t>Penders Grove Primary School</w:t>
    </w:r>
    <w:r w:rsidRPr="00DE50B0">
      <w:rPr>
        <w:noProof/>
        <w:color w:val="1F1646"/>
        <w:sz w:val="22"/>
        <w:lang w:val="en-AU" w:eastAsia="en-AU"/>
      </w:rPr>
      <w:t xml:space="preserve"> </w:t>
    </w:r>
    <w:r w:rsidRPr="00DE50B0" w:rsidR="00C82A2B">
      <w:rPr>
        <w:noProof/>
      </w:rPr>
      <w:drawing>
        <wp:anchor distT="0" distB="0" distL="114300" distR="114300" simplePos="0" relativeHeight="251658240"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53945945"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Fonts w:eastAsia="ＭＳ 明朝"/>
        <w:lang w:val="en-US" w:eastAsia="en-US" w:bidi="ar-SA"/>
      </w:rPr>
    </w:pPr>
    <w:r>
      <w:rPr>
        <w:noProof/>
      </w:rPr>
      <w:drawing>
        <wp:anchor distT="0" distB="0" distL="114300" distR="114300" simplePos="0" relativeHeight="251663360"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51409699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rFonts w:eastAsia="ＭＳ 明朝"/>
        <w:noProof/>
        <w:color w:val="1F1646"/>
        <w:sz w:val="22"/>
        <w:lang w:val="en-AU" w:eastAsia="en-AU" w:bidi="ar-SA"/>
      </w:rPr>
      <w:t>Penders Grove Primary School</w:t>
    </w:r>
    <w:r w:rsidRPr="00DE50B0">
      <w:rPr>
        <w:rStyle w:val="DefaultParagraphFont"/>
        <w:rFonts w:eastAsia="ＭＳ 明朝"/>
        <w:noProof/>
        <w:color w:val="1F1646"/>
        <w:sz w:val="22"/>
        <w:lang w:val="en-AU" w:eastAsia="en-AU" w:bidi="ar-S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Fonts w:eastAsia="ＭＳ 明朝"/>
        <w:lang w:val="en-US" w:eastAsia="en-US" w:bidi="ar-SA"/>
      </w:rPr>
    </w:pPr>
    <w:r>
      <w:ptab w:relativeTo="margin" w:alignment="left" w:leader="none"/>
    </w:r>
  </w:p>
  <w:p w:rsidR="005E4B2D" w:rsidRPr="00DE50B0" w:rsidP="00FE7BAD">
    <w:pPr>
      <w:pStyle w:val="Header1"/>
      <w:tabs>
        <w:tab w:val="clear" w:pos="4513"/>
        <w:tab w:val="left" w:pos="9026"/>
      </w:tabs>
      <w:spacing w:before="480"/>
      <w:ind w:left="8640" w:hanging="3820"/>
      <w:jc w:val="right"/>
      <w:rPr>
        <w:rStyle w:val="DefaultParagraphFont"/>
        <w:rFonts w:eastAsia="ＭＳ 明朝"/>
        <w:lang w:val="en-US" w:eastAsia="en-US" w:bidi="ar-SA"/>
      </w:rPr>
    </w:pPr>
    <w:r>
      <w:rPr>
        <w:rStyle w:val="DefaultParagraphFont"/>
        <w:rFonts w:eastAsia="ＭＳ 明朝"/>
        <w:noProof/>
        <w:color w:val="1F1646"/>
        <w:sz w:val="22"/>
        <w:lang w:val="en-AU" w:eastAsia="en-AU" w:bidi="ar-SA"/>
      </w:rPr>
      <w:t>Penders Grove Primary School</w:t>
    </w:r>
    <w:r w:rsidRPr="00DE50B0">
      <w:rPr>
        <w:rStyle w:val="DefaultParagraphFont"/>
        <w:rFonts w:eastAsia="ＭＳ 明朝"/>
        <w:noProof/>
        <w:color w:val="1F1646"/>
        <w:sz w:val="22"/>
        <w:lang w:val="en-AU" w:eastAsia="en-AU" w:bidi="ar-SA"/>
      </w:rPr>
      <w:t xml:space="preserve"> </w:t>
    </w:r>
    <w:r w:rsidRPr="00DE50B0" w:rsidR="00C82A2B">
      <w:rPr>
        <w:noProof/>
      </w:rPr>
      <w:drawing>
        <wp:anchor distT="0" distB="0" distL="114300" distR="114300" simplePos="0" relativeHeight="251659264"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469812127"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Fonts w:eastAsia="ＭＳ 明朝"/>
        <w:lang w:val="en-US" w:eastAsia="en-US" w:bidi="ar-SA"/>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spacing w:before="240"/>
      <w:rPr>
        <w:rStyle w:val="DefaultParagraphFont"/>
      </w:rPr>
    </w:pPr>
    <w:r>
      <w:rPr>
        <w:noProof/>
      </w:rPr>
      <w:drawing>
        <wp:anchor distT="0" distB="0" distL="114300" distR="114300" simplePos="0" relativeHeight="251664384" behindDoc="1" locked="0" layoutInCell="1" allowOverlap="1">
          <wp:simplePos x="0" y="0"/>
          <wp:positionH relativeFrom="page">
            <wp:posOffset>6362</wp:posOffset>
          </wp:positionH>
          <wp:positionV relativeFrom="paragraph">
            <wp:posOffset>-77638</wp:posOffset>
          </wp:positionV>
          <wp:extent cx="7556491" cy="609599"/>
          <wp:effectExtent l="0" t="0" r="0" b="635"/>
          <wp:wrapNone/>
          <wp:docPr id="106843493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anchor>
      </w:drawing>
    </w:r>
    <w:r>
      <w:ptab w:relativeTo="margin" w:alignment="center" w:leader="none"/>
    </w:r>
    <w:r>
      <w:ptab w:relativeTo="margin" w:alignment="right" w:leader="none"/>
    </w:r>
    <w:r>
      <w:rPr>
        <w:rStyle w:val="DefaultParagraphFont"/>
        <w:noProof/>
        <w:color w:val="1F1646"/>
        <w:sz w:val="22"/>
        <w:lang w:val="en-AU" w:eastAsia="en-AU"/>
      </w:rPr>
      <w:t>Penders Grove Primary School</w:t>
    </w:r>
    <w:r w:rsidRPr="00DE50B0">
      <w:rPr>
        <w:rStyle w:val="DefaultParagraphFont"/>
        <w:noProof/>
        <w:color w:val="1F1646"/>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2"/>
      <w:ind w:left="-993"/>
      <w:rPr>
        <w:rStyle w:val="DefaultParagraphFont"/>
      </w:rPr>
    </w:pPr>
    <w:r>
      <w:ptab w:relativeTo="margin" w:alignment="left" w:leader="none"/>
    </w:r>
  </w:p>
  <w:p w:rsidR="005E4B2D" w:rsidRPr="00DE50B0" w:rsidP="00FE7BAD">
    <w:pPr>
      <w:pStyle w:val="Header2"/>
      <w:tabs>
        <w:tab w:val="clear" w:pos="4513"/>
        <w:tab w:val="left" w:pos="9026"/>
      </w:tabs>
      <w:spacing w:before="480"/>
      <w:ind w:left="8640" w:hanging="3820"/>
      <w:jc w:val="right"/>
      <w:rPr>
        <w:rStyle w:val="DefaultParagraphFont"/>
      </w:rPr>
    </w:pPr>
    <w:r>
      <w:rPr>
        <w:rStyle w:val="DefaultParagraphFont"/>
        <w:noProof/>
        <w:color w:val="1F1646"/>
        <w:sz w:val="22"/>
        <w:lang w:val="en-AU" w:eastAsia="en-AU"/>
      </w:rPr>
      <w:t>Penders Grove Primary School</w:t>
    </w:r>
    <w:r w:rsidRPr="00DE50B0">
      <w:rPr>
        <w:rStyle w:val="DefaultParagraphFont"/>
        <w:noProof/>
        <w:color w:val="1F1646"/>
        <w:sz w:val="22"/>
        <w:lang w:val="en-AU" w:eastAsia="en-AU"/>
      </w:rPr>
      <w:t xml:space="preserve"> </w:t>
    </w:r>
    <w:r w:rsidRPr="00DE50B0" w:rsidR="00C82A2B">
      <w:rPr>
        <w:noProof/>
      </w:rPr>
      <w:drawing>
        <wp:anchor distT="0" distB="0" distL="114300" distR="114300" simplePos="0" relativeHeight="251660288" behindDoc="1" locked="1" layoutInCell="1" allowOverlap="1">
          <wp:simplePos x="0" y="0"/>
          <wp:positionH relativeFrom="column">
            <wp:posOffset>-345440</wp:posOffset>
          </wp:positionH>
          <wp:positionV relativeFrom="paragraph">
            <wp:posOffset>-285115</wp:posOffset>
          </wp:positionV>
          <wp:extent cx="7548245" cy="1192530"/>
          <wp:effectExtent l="0" t="0" r="0" b="1270"/>
          <wp:wrapNone/>
          <wp:docPr id="1778210681"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anchor>
      </w:drawing>
    </w:r>
    <w:r w:rsidRPr="00DE50B0">
      <w:rPr>
        <w:rStyle w:val="DefaultParagraphFon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53EF81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5C4A8A"/>
    <w:lvl w:ilvl="0">
      <w:start w:val="1"/>
      <w:numFmt w:val="decimal"/>
      <w:lvlText w:val="%1."/>
      <w:lvlJc w:val="left"/>
      <w:pPr>
        <w:tabs>
          <w:tab w:val="num" w:pos="1492"/>
        </w:tabs>
        <w:ind w:left="1492" w:hanging="360"/>
      </w:pPr>
    </w:lvl>
  </w:abstractNum>
  <w:abstractNum w:abstractNumId="2">
    <w:nsid w:val="FFFFFF7D"/>
    <w:multiLevelType w:val="singleLevel"/>
    <w:tmpl w:val="13785984"/>
    <w:lvl w:ilvl="0">
      <w:start w:val="1"/>
      <w:numFmt w:val="decimal"/>
      <w:lvlText w:val="%1."/>
      <w:lvlJc w:val="left"/>
      <w:pPr>
        <w:tabs>
          <w:tab w:val="num" w:pos="1209"/>
        </w:tabs>
        <w:ind w:left="1209" w:hanging="360"/>
      </w:pPr>
    </w:lvl>
  </w:abstractNum>
  <w:abstractNum w:abstractNumId="3">
    <w:nsid w:val="FFFFFF7E"/>
    <w:multiLevelType w:val="singleLevel"/>
    <w:tmpl w:val="8050ED96"/>
    <w:lvl w:ilvl="0">
      <w:start w:val="1"/>
      <w:numFmt w:val="decimal"/>
      <w:lvlText w:val="%1."/>
      <w:lvlJc w:val="left"/>
      <w:pPr>
        <w:tabs>
          <w:tab w:val="num" w:pos="926"/>
        </w:tabs>
        <w:ind w:left="926" w:hanging="360"/>
      </w:pPr>
    </w:lvl>
  </w:abstractNum>
  <w:abstractNum w:abstractNumId="4">
    <w:nsid w:val="FFFFFF7F"/>
    <w:multiLevelType w:val="singleLevel"/>
    <w:tmpl w:val="14FC5E2A"/>
    <w:lvl w:ilvl="0">
      <w:start w:val="1"/>
      <w:numFmt w:val="decimal"/>
      <w:lvlText w:val="%1."/>
      <w:lvlJc w:val="left"/>
      <w:pPr>
        <w:tabs>
          <w:tab w:val="num" w:pos="643"/>
        </w:tabs>
        <w:ind w:left="643" w:hanging="360"/>
      </w:pPr>
    </w:lvl>
  </w:abstractNum>
  <w:abstractNum w:abstractNumId="5">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BEA14C"/>
    <w:lvl w:ilvl="0">
      <w:start w:val="1"/>
      <w:numFmt w:val="decimal"/>
      <w:lvlText w:val="%1."/>
      <w:lvlJc w:val="left"/>
      <w:pPr>
        <w:tabs>
          <w:tab w:val="num" w:pos="360"/>
        </w:tabs>
        <w:ind w:left="360" w:hanging="360"/>
      </w:pPr>
    </w:lvl>
  </w:abstractNum>
  <w:abstractNum w:abstractNumId="1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nsid w:val="0D8D0F11"/>
    <w:multiLevelType w:val="hybridMultilevel"/>
    <w:tmpl w:val="28BC2626"/>
    <w:lvl w:ilvl="0">
      <w:start w:val="1"/>
      <w:numFmt w:val="bullet"/>
      <w:pStyle w:val="Bullet2"/>
      <w:lvlText w:val="–"/>
      <w:lvlJc w:val="left"/>
      <w:pPr>
        <w:ind w:left="644" w:hanging="360"/>
      </w:pPr>
      <w:rPr>
        <w:rFonts w:ascii="Arial" w:hAnsi="Arial" w:hint="default"/>
        <w:b w:val="0"/>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2F5BA7"/>
    <w:multiLevelType w:val="hybridMultilevel"/>
    <w:tmpl w:val="60C841FC"/>
    <w:lvl w:ilvl="0">
      <w:start w:val="0"/>
      <w:numFmt w:val="bullet"/>
      <w:lvlText w:val="•"/>
      <w:lvlJc w:val="left"/>
      <w:pPr>
        <w:ind w:left="1080" w:hanging="72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92766D"/>
    <w:multiLevelType w:val="hybridMultilevel"/>
    <w:tmpl w:val="24BEF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A35373"/>
    <w:multiLevelType w:val="hybridMultilevel"/>
    <w:tmpl w:val="467A483A"/>
    <w:lvl w:ilvl="0">
      <w:start w:val="1"/>
      <w:numFmt w:val="decimal"/>
      <w:pStyle w:val="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6B7CD3"/>
    <w:multiLevelType w:val="hybridMultilevel"/>
    <w:tmpl w:val="D2EAFE46"/>
    <w:lvl w:ilvl="0">
      <w:start w:val="1"/>
      <w:numFmt w:val="bullet"/>
      <w:lvlText w:val="o"/>
      <w:lvlJc w:val="left"/>
      <w:pPr>
        <w:ind w:left="644"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B619BD"/>
    <w:multiLevelType w:val="hybridMultilevel"/>
    <w:tmpl w:val="3070A5AC"/>
    <w:lvl w:ilvl="0">
      <w:start w:val="1"/>
      <w:numFmt w:val="lowerLetter"/>
      <w:pStyle w:val="Alphabetlist"/>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4B36AF8"/>
    <w:multiLevelType w:val="hybridMultilevel"/>
    <w:tmpl w:val="D1A8A6B2"/>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B36AF9"/>
    <w:multiLevelType w:val="hybridMultilevel"/>
    <w:tmpl w:val="64B36AF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4B36AFA"/>
    <w:multiLevelType w:val="hybridMultilevel"/>
    <w:tmpl w:val="64B36AF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64B36AFB"/>
    <w:multiLevelType w:val="hybridMultilevel"/>
    <w:tmpl w:val="64B36AF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4B36AFC"/>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4B36AFD"/>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4B36AFE"/>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B36AFF"/>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4"/>
  </w:num>
  <w:num w:numId="16">
    <w:abstractNumId w:val="14"/>
    <w:lvlOverride w:ilvl="0">
      <w:startOverride w:val="1"/>
    </w:lvlOverride>
  </w:num>
  <w:num w:numId="17">
    <w:abstractNumId w:val="18"/>
  </w:num>
  <w:num w:numId="18">
    <w:abstractNumId w:val="13"/>
  </w:num>
  <w:num w:numId="19">
    <w:abstractNumId w:val="12"/>
  </w:num>
  <w:num w:numId="20">
    <w:abstractNumId w:val="11"/>
  </w:num>
  <w:num w:numId="21">
    <w:abstractNumId w:val="16"/>
  </w:num>
  <w:num w:numId="22">
    <w:abstractNumId w:val="17"/>
  </w:num>
  <w:num w:numId="23">
    <w:abstractNumId w:val="18"/>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hAnsi="Arial" w:eastAsiaTheme="minorEastAsia"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hAnsi="Arial" w:eastAsiaTheme="minorEastAsia"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hAnsi="Arial" w:eastAsiaTheme="minorEastAsia"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hAnsi="Arial" w:eastAsiaTheme="minorEastAsia" w:cs="Arial"/>
      <w:sz w:val="18"/>
      <w:szCs w:val="11"/>
      <w:lang w:val="en-US"/>
    </w:rPr>
  </w:style>
  <w:style w:type="character" w:customStyle="1" w:styleId="FootnoteTextChar">
    <w:name w:val="Footnote Text Char"/>
    <w:basedOn w:val="DefaultParagraphFont"/>
    <w:link w:val="FootnoteText"/>
    <w:uiPriority w:val="99"/>
    <w:rsid w:val="00CD0C81"/>
    <w:rPr>
      <w:rFonts w:ascii="Arial" w:hAnsi="Arial" w:eastAsiaTheme="minorEastAsia"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customStyle="1"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customStyle="1" w:styleId="ESHeading2">
    <w:name w:val="ES_Heading 2"/>
    <w:basedOn w:val="Heading1"/>
    <w:qFormat/>
    <w:rsid w:val="00BB7B33"/>
    <w:pPr>
      <w:spacing w:after="120"/>
    </w:pPr>
    <w:rPr>
      <w:rFonts w:ascii="Arial" w:hAnsi="Arial" w:cstheme="majorBidi"/>
      <w:b/>
      <w:caps/>
      <w:color w:val="AF272F"/>
      <w:sz w:val="20"/>
      <w:szCs w:val="20"/>
      <w:lang w:val="en-US"/>
    </w:rPr>
  </w:style>
  <w:style w:type="paragraph" w:styleId="NormalWeb">
    <w:name w:val="Normal (Web)"/>
    <w:basedOn w:val="Normal"/>
    <w:uiPriority w:val="99"/>
    <w:semiHidden/>
    <w:unhideWhenUsed/>
    <w:rsid w:val="00BB7B33"/>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Style1">
    <w:name w:val="Style1"/>
    <w:basedOn w:val="Normal"/>
    <w:link w:val="Style1Char"/>
    <w:qFormat/>
    <w:rsid w:val="00BB7B33"/>
    <w:pPr>
      <w:pBdr>
        <w:top w:val="single" w:sz="4" w:space="10" w:color="auto"/>
      </w:pBdr>
      <w:spacing w:after="0" w:line="240" w:lineRule="auto"/>
    </w:pPr>
    <w:rPr>
      <w:rFonts w:ascii="Arial" w:hAnsi="Arial" w:eastAsiaTheme="majorEastAsia" w:cstheme="majorBidi"/>
      <w:bCs/>
      <w:color w:val="C00000"/>
      <w:sz w:val="24"/>
      <w:lang w:val="en-US"/>
    </w:rPr>
  </w:style>
  <w:style w:type="character" w:customStyle="1" w:styleId="Style1Char">
    <w:name w:val="Style1 Char"/>
    <w:basedOn w:val="DefaultParagraphFont"/>
    <w:link w:val="Style1"/>
    <w:rsid w:val="00BB7B33"/>
    <w:rPr>
      <w:rFonts w:ascii="Arial" w:hAnsi="Arial" w:eastAsiaTheme="majorEastAsia" w:cstheme="majorBidi"/>
      <w:bCs/>
      <w:color w:val="C00000"/>
      <w:szCs w:val="20"/>
      <w:lang w:val="en-US"/>
    </w:rPr>
  </w:style>
  <w:style w:type="table" w:customStyle="1" w:styleId="TableGrid1">
    <w:name w:val="Table Grid1"/>
    <w:basedOn w:val="TableNormal"/>
    <w:next w:val="TableGrid"/>
    <w:uiPriority w:val="59"/>
    <w:rsid w:val="00BB7B3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0"/>
    <w:uiPriority w:val="99"/>
    <w:locked/>
    <w:pPr>
      <w:tabs>
        <w:tab w:val="center" w:pos="4513"/>
        <w:tab w:val="right" w:pos="9026"/>
      </w:tabs>
      <w:spacing w:after="0" w:line="240" w:lineRule="auto"/>
    </w:pPr>
    <w:rPr>
      <w:rFonts w:eastAsia="ＭＳ 明朝"/>
      <w:lang w:val="en-US"/>
    </w:r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character" w:customStyle="1" w:styleId="Body2Char">
    <w:name w:val="Body 2 Char"/>
    <w:basedOn w:val="ESBodyTextChar"/>
    <w:link w:val="Body2"/>
    <w:rsid w:val="00B637FF"/>
    <w:rPr>
      <w:rFonts w:ascii="Arial" w:eastAsia="ＭＳ 明朝" w:hAnsi="Arial" w:cs="Arial"/>
      <w:sz w:val="18"/>
      <w:szCs w:val="18"/>
      <w:lang w:val="en-US"/>
    </w:rPr>
  </w:style>
  <w:style w:type="character" w:customStyle="1" w:styleId="ESBodyTextChar">
    <w:name w:val="ES_Body Text Char"/>
    <w:basedOn w:val="DefaultParagraphFont"/>
    <w:link w:val="ESBodyText"/>
    <w:rsid w:val="00B637FF"/>
    <w:rPr>
      <w:rFonts w:ascii="Arial" w:hAnsi="Arial" w:cs="Arial"/>
      <w:sz w:val="18"/>
      <w:szCs w:val="18"/>
    </w:rPr>
  </w:style>
  <w:style w:type="paragraph" w:customStyle="1" w:styleId="ESBodyText">
    <w:name w:val="ES_Body Text"/>
    <w:basedOn w:val="Normal1"/>
    <w:link w:val="ESBodyTextChar"/>
    <w:qFormat/>
  </w:style>
  <w:style w:type="paragraph" w:customStyle="1" w:styleId="Normal1">
    <w:name w:val="Normal_1"/>
    <w:semiHidden/>
    <w:qFormat/>
    <w:pPr>
      <w:spacing w:after="120" w:line="240" w:lineRule="atLeast"/>
    </w:pPr>
    <w:rPr>
      <w:rFonts w:ascii="Arial" w:hAnsi="Arial" w:cs="Arial"/>
      <w:sz w:val="18"/>
      <w:szCs w:val="18"/>
    </w:rPr>
  </w:style>
  <w:style w:type="paragraph" w:customStyle="1" w:styleId="Body2">
    <w:name w:val="Body 2"/>
    <w:basedOn w:val="ESBodyText"/>
    <w:link w:val="Body2Char"/>
    <w:qFormat/>
    <w:rsid w:val="00B637FF"/>
    <w:pPr>
      <w:spacing w:after="360"/>
    </w:pPr>
  </w:style>
  <w:style w:type="paragraph" w:customStyle="1" w:styleId="Footer0">
    <w:name w:val="Footer_0"/>
    <w:basedOn w:val="Normal1"/>
    <w:link w:val="FooterChar0"/>
    <w:uiPriority w:val="99"/>
    <w:pPr>
      <w:tabs>
        <w:tab w:val="center" w:pos="4320"/>
        <w:tab w:val="right" w:pos="8640"/>
      </w:tabs>
    </w:pPr>
    <w:rPr>
      <w:rFonts w:eastAsia="ＭＳ 明朝"/>
      <w:lang w:val="en-US"/>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Footer1">
    <w:name w:val="Footer_1"/>
    <w:basedOn w:val="Normal2"/>
    <w:link w:val="FooterChar1"/>
    <w:uiPriority w:val="99"/>
    <w:pPr>
      <w:tabs>
        <w:tab w:val="center" w:pos="4320"/>
        <w:tab w:val="right" w:pos="8640"/>
      </w:tabs>
    </w:pPr>
    <w:rPr>
      <w:rFonts w:eastAsia="ＭＳ 明朝"/>
      <w:lang w:val="en-US"/>
    </w:r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FooterChar1">
    <w:name w:val="Footer Char_1"/>
    <w:basedOn w:val="DefaultParagraphFont"/>
    <w:link w:val="Footer1"/>
    <w:uiPriority w:val="99"/>
    <w:rPr>
      <w:rFonts w:ascii="Arial" w:hAnsi="Arial" w:cs="Arial"/>
      <w:sz w:val="18"/>
      <w:szCs w:val="18"/>
    </w:rPr>
  </w:style>
  <w:style w:type="paragraph" w:customStyle="1" w:styleId="Header1">
    <w:name w:val="Header_1"/>
    <w:basedOn w:val="Normal3"/>
    <w:link w:val="HeaderChar1"/>
    <w:uiPriority w:val="99"/>
    <w:locked/>
    <w:pPr>
      <w:tabs>
        <w:tab w:val="center" w:pos="4513"/>
        <w:tab w:val="right" w:pos="9026"/>
      </w:tabs>
      <w:spacing w:after="0" w:line="240" w:lineRule="auto"/>
    </w:pPr>
    <w:rPr>
      <w:rFonts w:eastAsia="ＭＳ 明朝"/>
      <w:lang w:val="en-US"/>
    </w:r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0"/>
    <w:link w:val="HeaderChar2"/>
    <w:uiPriority w:val="99"/>
    <w:locked/>
    <w:pPr>
      <w:tabs>
        <w:tab w:val="center" w:pos="4513"/>
        <w:tab w:val="right" w:pos="9026"/>
      </w:tabs>
      <w:spacing w:after="0" w:line="240" w:lineRule="auto"/>
    </w:pPr>
  </w:style>
  <w:style w:type="character" w:customStyle="1" w:styleId="HeaderChar2">
    <w:name w:val="Header Char_2"/>
    <w:basedOn w:val="DefaultParagraphFont"/>
    <w:link w:val="Header2"/>
    <w:uiPriority w:val="99"/>
    <w:rPr>
      <w:rFonts w:ascii="Arial" w:hAnsi="Arial" w:cs="Arial"/>
      <w:sz w:val="18"/>
      <w:szCs w:val="18"/>
    </w:rPr>
  </w:style>
  <w:style w:type="character" w:customStyle="1" w:styleId="Body2Char0">
    <w:name w:val="Body 2 Char_0"/>
    <w:basedOn w:val="ESBodyTextChar"/>
    <w:link w:val="Body20"/>
    <w:rsid w:val="00B637FF"/>
    <w:rPr>
      <w:rFonts w:ascii="Arial" w:hAnsi="Arial" w:cs="Arial"/>
      <w:sz w:val="18"/>
      <w:szCs w:val="18"/>
    </w:rPr>
  </w:style>
  <w:style w:type="paragraph" w:customStyle="1" w:styleId="Body20">
    <w:name w:val="Body 2_0"/>
    <w:basedOn w:val="ESBodyText"/>
    <w:link w:val="Body2Char0"/>
    <w:qFormat/>
    <w:rsid w:val="00B637FF"/>
    <w:pPr>
      <w:spacing w:after="360"/>
    </w:pPr>
  </w:style>
  <w:style w:type="paragraph" w:customStyle="1" w:styleId="Footer2">
    <w:name w:val="Footer_2"/>
    <w:basedOn w:val="Normal0"/>
    <w:link w:val="FooterChar2"/>
    <w:uiPriority w:val="99"/>
    <w:pPr>
      <w:tabs>
        <w:tab w:val="center" w:pos="4320"/>
        <w:tab w:val="right" w:pos="8640"/>
      </w:tabs>
    </w:pPr>
  </w:style>
  <w:style w:type="character" w:customStyle="1" w:styleId="FooterChar2">
    <w:name w:val="Footer Char_2"/>
    <w:basedOn w:val="DefaultParagraphFont"/>
    <w:link w:val="Footer2"/>
    <w:uiPriority w:val="99"/>
    <w:rPr>
      <w:rFonts w:ascii="Arial" w:hAnsi="Arial" w:cs="Arial"/>
      <w:sz w:val="18"/>
      <w:szCs w:val="18"/>
    </w:rPr>
  </w:style>
  <w:style w:type="paragraph" w:customStyle="1" w:styleId="Heading10">
    <w:name w:val="Heading 1_0"/>
    <w:basedOn w:val="Normal0"/>
    <w:next w:val="Normal0"/>
    <w:link w:val="Heading1Char0"/>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0">
    <w:name w:val="Heading 1 Char_0"/>
    <w:basedOn w:val="DefaultParagraphFont"/>
    <w:link w:val="Heading10"/>
    <w:uiPriority w:val="9"/>
    <w:rPr>
      <w:rFonts w:ascii="Arial" w:eastAsia="ＭＳ ゴシック" w:hAnsi="Arial" w:cs="Times New Roman"/>
      <w:b/>
      <w:bCs/>
      <w:caps/>
      <w:color w:val="AF272F"/>
      <w:sz w:val="20"/>
      <w:szCs w:val="20"/>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eastAsia="ＭＳ ゴシック" w:hAnsi="Arial" w:cs="Times New Roman"/>
      <w:bCs/>
      <w:color w:val="C00000"/>
      <w:sz w:val="28"/>
      <w:szCs w:val="20"/>
    </w:rPr>
  </w:style>
  <w:style w:type="paragraph" w:styleId="ListParagraph">
    <w:name w:val="List Paragraph"/>
    <w:basedOn w:val="Normal0"/>
    <w:uiPriority w:val="34"/>
    <w:qFormat/>
    <w:locked/>
    <w:pPr>
      <w:ind w:left="720"/>
      <w:contextualSpacing/>
    </w:pPr>
  </w:style>
  <w:style w:type="character" w:customStyle="1" w:styleId="Hyperlink0">
    <w:name w:val="Hyperlink_0"/>
    <w:uiPriority w:val="99"/>
    <w:unhideWhenUsed/>
    <w:locked/>
    <w:rPr>
      <w:color w:val="0000FF"/>
      <w:u w:val="single"/>
    </w:rPr>
  </w:style>
  <w:style w:type="paragraph" w:customStyle="1" w:styleId="Title0">
    <w:name w:val="Title_0"/>
    <w:next w:val="Subtitle0"/>
    <w:link w:val="TitleChar0"/>
    <w:uiPriority w:val="10"/>
    <w:qFormat/>
    <w:locked/>
    <w:pPr>
      <w:spacing w:after="120" w:line="340" w:lineRule="atLeast"/>
      <w:outlineLvl w:val="0"/>
    </w:pPr>
    <w:rPr>
      <w:rFonts w:ascii="Arial" w:eastAsia="ＭＳ ゴシック" w:hAnsi="Arial" w:cs="Times New Roman"/>
      <w:b/>
      <w:color w:val="AF272F"/>
      <w:spacing w:val="5"/>
      <w:kern w:val="28"/>
      <w:sz w:val="44"/>
      <w:szCs w:val="52"/>
    </w:rPr>
  </w:style>
  <w:style w:type="paragraph" w:customStyle="1" w:styleId="Subtitle0">
    <w:name w:val="Subtitle_0"/>
    <w:basedOn w:val="Normal0"/>
    <w:next w:val="Normal0"/>
    <w:link w:val="SubtitleChar0"/>
    <w:uiPriority w:val="11"/>
    <w:qFormat/>
    <w:locked/>
    <w:pPr>
      <w:numPr>
        <w:ilvl w:val="1"/>
      </w:numPr>
      <w:spacing w:after="0"/>
    </w:pPr>
    <w:rPr>
      <w:rFonts w:eastAsia="ＭＳ ゴシック" w:cs="Times New Roman"/>
      <w:color w:val="5A5A59"/>
      <w:sz w:val="27"/>
      <w:szCs w:val="27"/>
    </w:rPr>
  </w:style>
  <w:style w:type="character" w:customStyle="1" w:styleId="SubtitleChar0">
    <w:name w:val="Subtitle Char_0"/>
    <w:basedOn w:val="DefaultParagraphFont"/>
    <w:link w:val="Subtitle0"/>
    <w:uiPriority w:val="11"/>
    <w:rPr>
      <w:rFonts w:ascii="Arial" w:eastAsia="ＭＳ ゴシック" w:hAnsi="Arial" w:cs="Times New Roman"/>
      <w:color w:val="5A5A59"/>
      <w:sz w:val="27"/>
      <w:szCs w:val="27"/>
    </w:rPr>
  </w:style>
  <w:style w:type="character" w:customStyle="1" w:styleId="TitleChar0">
    <w:name w:val="Title Char_0"/>
    <w:basedOn w:val="DefaultParagraphFont"/>
    <w:link w:val="Title0"/>
    <w:uiPriority w:val="10"/>
    <w:rPr>
      <w:rFonts w:ascii="Arial" w:eastAsia="ＭＳ ゴシック" w:hAnsi="Arial" w:cs="Times New Roman"/>
      <w:b/>
      <w:color w:val="AF272F"/>
      <w:spacing w:val="5"/>
      <w:kern w:val="28"/>
      <w:sz w:val="44"/>
      <w:szCs w:val="52"/>
    </w:rPr>
  </w:style>
  <w:style w:type="paragraph" w:customStyle="1" w:styleId="Style11">
    <w:name w:val="Style1_1"/>
    <w:basedOn w:val="H2"/>
    <w:link w:val="Style1Char1"/>
    <w:qFormat/>
    <w:rsid w:val="00B637FF"/>
    <w:pPr>
      <w:pBdr>
        <w:top w:val="single" w:sz="4" w:space="10" w:color="auto"/>
      </w:pBdr>
      <w:spacing w:before="120"/>
    </w:pPr>
    <w:rPr>
      <w:sz w:val="24"/>
    </w:rPr>
  </w:style>
  <w:style w:type="character" w:customStyle="1" w:styleId="Style1Char1">
    <w:name w:val="Style1 Char_1"/>
    <w:basedOn w:val="H2Char"/>
    <w:link w:val="Style11"/>
    <w:rsid w:val="00B637FF"/>
    <w:rPr>
      <w:rFonts w:ascii="Arial" w:eastAsia="ＭＳ ゴシック" w:hAnsi="Arial" w:cs="Times New Roman"/>
      <w:bCs/>
      <w:color w:val="C00000"/>
      <w:sz w:val="28"/>
      <w:szCs w:val="20"/>
    </w:rPr>
  </w:style>
  <w:style w:type="paragraph" w:customStyle="1" w:styleId="ESHeading3">
    <w:name w:val="ES_Heading 3"/>
    <w:basedOn w:val="Heading30"/>
    <w:qFormat/>
    <w:rsid w:val="00DF78DF"/>
    <w:rPr>
      <w:sz w:val="18"/>
    </w:rPr>
  </w:style>
  <w:style w:type="paragraph" w:customStyle="1" w:styleId="Heading30">
    <w:name w:val="Heading 3_0"/>
    <w:basedOn w:val="Normal0"/>
    <w:next w:val="Normal0"/>
    <w:link w:val="Heading3Char0"/>
    <w:uiPriority w:val="9"/>
    <w:semiHidden/>
    <w:qFormat/>
    <w:locked/>
    <w:pPr>
      <w:spacing w:before="240"/>
      <w:outlineLvl w:val="2"/>
    </w:pPr>
    <w:rPr>
      <w:b/>
      <w:color w:val="000000"/>
      <w:sz w:val="20"/>
    </w:rPr>
  </w:style>
  <w:style w:type="character" w:customStyle="1" w:styleId="Heading3Char0">
    <w:name w:val="Heading 3 Char_0"/>
    <w:basedOn w:val="DefaultParagraphFont"/>
    <w:link w:val="Heading30"/>
    <w:uiPriority w:val="9"/>
    <w:semiHidden/>
    <w:rPr>
      <w:rFonts w:ascii="Arial" w:hAnsi="Arial" w:cs="Arial"/>
      <w:b/>
      <w:color w:val="000000"/>
      <w:sz w:val="20"/>
      <w:szCs w:val="18"/>
    </w:rPr>
  </w:style>
  <w:style w:type="table" w:customStyle="1" w:styleId="TableGrid0">
    <w:name w:val="Table Grid_0"/>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20">
    <w:name w:val="ES_Heading 2_0"/>
    <w:basedOn w:val="Heading11"/>
    <w:qFormat/>
    <w:pPr>
      <w:spacing w:before="240" w:after="120"/>
    </w:pPr>
  </w:style>
  <w:style w:type="paragraph" w:customStyle="1" w:styleId="Heading11">
    <w:name w:val="Heading 1_1"/>
    <w:basedOn w:val="Normal0"/>
    <w:next w:val="Normal0"/>
    <w:link w:val="Heading1Char1"/>
    <w:uiPriority w:val="9"/>
    <w:qFormat/>
    <w:locked/>
    <w:pPr>
      <w:keepNext/>
      <w:keepLines/>
      <w:spacing w:after="40"/>
      <w:outlineLvl w:val="0"/>
    </w:pPr>
    <w:rPr>
      <w:rFonts w:eastAsia="ＭＳ ゴシック" w:cs="Times New Roman"/>
      <w:b/>
      <w:bCs/>
      <w:caps/>
      <w:color w:val="AF272F"/>
      <w:sz w:val="20"/>
      <w:szCs w:val="20"/>
    </w:rPr>
  </w:style>
  <w:style w:type="character" w:customStyle="1" w:styleId="Heading1Char1">
    <w:name w:val="Heading 1 Char_1"/>
    <w:basedOn w:val="DefaultParagraphFont"/>
    <w:link w:val="Heading11"/>
    <w:uiPriority w:val="9"/>
    <w:rPr>
      <w:rFonts w:ascii="Arial" w:eastAsia="ＭＳ ゴシック" w:hAnsi="Arial" w:cs="Times New Roman"/>
      <w:b/>
      <w:bCs/>
      <w:caps/>
      <w:color w:val="AF272F"/>
      <w:sz w:val="20"/>
      <w:szCs w:val="20"/>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6.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4.png" /></Relationships>
</file>

<file path=word/_rels/footer4.xml.rels>&#65279;<?xml version="1.0" encoding="utf-8" standalone="yes"?><Relationships xmlns="http://schemas.openxmlformats.org/package/2006/relationships"><Relationship Id="rId1" Type="http://schemas.openxmlformats.org/officeDocument/2006/relationships/image" Target="media/image6.png" /></Relationships>
</file>

<file path=word/_rels/footer5.xml.rels>&#65279;<?xml version="1.0" encoding="utf-8" standalone="yes"?><Relationships xmlns="http://schemas.openxmlformats.org/package/2006/relationships"><Relationship Id="rId1" Type="http://schemas.openxmlformats.org/officeDocument/2006/relationships/image" Target="media/image6.png" /></Relationships>
</file>

<file path=word/_rels/footer6.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5.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6.xml.rels>&#65279;<?xml version="1.0" encoding="utf-8" standalone="yes"?><Relationships xmlns="http://schemas.openxmlformats.org/package/2006/relationships"><Relationship Id="rId1" Type="http://schemas.openxmlformats.org/officeDocument/2006/relationships/image" Target="media/image5.png" /></Relationships>
</file>

<file path=word/_rels/header7.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5.png" /></Relationships>
</file>

<file path=word/_rels/header9.xml.rels>&#65279;<?xml version="1.0" encoding="utf-8" standalone="yes"?><Relationships xmlns="http://schemas.openxmlformats.org/package/2006/relationships"><Relationship Id="rId1" Type="http://schemas.openxmlformats.org/officeDocument/2006/relationships/image" Target="media/image2.pn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6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0.759</c:v>
                </c:pt>
                <c:pt idx="1">
                  <c:v>0.816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5</a:t>
            </a:r>
          </a:p>
        </c:rich>
      </c:tx>
      <c:layout>
        <c:manualLayout>
          <c:xMode val="edge"/>
          <c:yMode val="edge"/>
          <c:x val="0.33816424426128616"/>
          <c:y val="0.04015645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0.579</c:v>
                </c:pt>
                <c:pt idx="1">
                  <c:v>0.735</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3</a:t>
            </a:r>
          </a:p>
        </c:rich>
      </c:tx>
      <c:layout>
        <c:manualLayout>
          <c:xMode val="edge"/>
          <c:yMode val="edge"/>
          <c:x val="0.33349671017150251"/>
          <c:y val="0.046666871719160105"/>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0.609</c:v>
                </c:pt>
                <c:pt idx="1">
                  <c:v>0.658</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(2022)</a:t>
            </a:r>
          </a:p>
          <a:p>
            <a:pPr algn="ctr" rtl="0">
              <a:defRPr sz="900" b="1">
                <a:solidFill>
                  <a:srgbClr val="1F1646"/>
                </a:solidFill>
              </a:defRPr>
            </a:pPr>
            <a:r>
              <a:rPr lang="en-AU" sz="900" b="1">
                <a:solidFill>
                  <a:srgbClr val="1F1646"/>
                </a:solidFill>
              </a:rPr>
              <a:t>Year 5</a:t>
            </a:r>
          </a:p>
        </c:rich>
      </c:tx>
      <c:layout>
        <c:manualLayout>
          <c:xMode val="edge"/>
          <c:yMode val="edge"/>
          <c:x val="0.33349671017150251"/>
          <c:y val="0.040156455052493448"/>
        </c:manualLayout>
      </c:layout>
      <c:spPr>
        <a:noFill/>
        <a:ln>
          <a:noFill/>
        </a:ln>
      </c:spPr>
      <c:txPr>
        <a:bodyPr rot="0" spcFirstLastPara="1" vertOverflow="ellipsis" vert="horz" wrap="square" anchor="ctr" anchorCtr="1"/>
        <a:lstStyle/>
        <a:p>
          <a:pPr algn="ctr" rtl="0">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0.647</c:v>
                </c:pt>
                <c:pt idx="1">
                  <c:v>0.548</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Sense of Connectedness (latest year)</a:t>
            </a:r>
          </a:p>
          <a:p>
            <a:pPr>
              <a:defRPr sz="900" b="1">
                <a:solidFill>
                  <a:srgbClr val="1F1646"/>
                </a:solidFill>
              </a:defRPr>
            </a:pPr>
            <a:r>
              <a:rPr lang="en-AU" sz="900" b="1">
                <a:solidFill>
                  <a:srgbClr val="1F1646"/>
                </a:solidFill>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0.711392</c:v>
                </c:pt>
                <c:pt idx="1">
                  <c:v>0.734392</c:v>
                </c:pt>
                <c:pt idx="2">
                  <c:v>0.767953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Management of Bullying (latest year)</a:t>
            </a:r>
          </a:p>
          <a:p>
            <a:pPr>
              <a:defRPr sz="900" b="1">
                <a:solidFill>
                  <a:srgbClr val="1F1646"/>
                </a:solidFill>
              </a:defRPr>
            </a:pPr>
            <a:r>
              <a:rPr lang="en-AU" sz="900" b="1">
                <a:solidFill>
                  <a:srgbClr val="1F1646"/>
                </a:solidFill>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0.62605</c:v>
                </c:pt>
                <c:pt idx="1">
                  <c:v>0.730548</c:v>
                </c:pt>
                <c:pt idx="2">
                  <c:v>0.754734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Student Absence (latest year)</a:t>
            </a:r>
          </a:p>
          <a:p>
            <a:pPr>
              <a:defRPr sz="900" b="1">
                <a:solidFill>
                  <a:srgbClr val="1F1646"/>
                </a:solidFill>
              </a:defRPr>
            </a:pPr>
            <a:r>
              <a:rPr lang="en-AU" sz="900" b="1">
                <a:solidFill>
                  <a:srgbClr val="1F1646"/>
                </a:solidFill>
              </a:rPr>
              <a:t>Years Prep to 6</a:t>
            </a:r>
          </a:p>
        </c:rich>
      </c:tx>
      <c:layout>
        <c:manualLayout>
          <c:xMode val="edge"/>
          <c:yMode val="edge"/>
          <c:x val="0.25194823837368852"/>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30.643884</c:v>
                </c:pt>
                <c:pt idx="1">
                  <c:v>22.003296</c:v>
                </c:pt>
                <c:pt idx="2">
                  <c:v>21.821718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Average number of absence days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0.72</c:v>
                </c:pt>
                <c:pt idx="1">
                  <c:v>0.777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endorsement</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English (latest year)</a:t>
            </a:r>
          </a:p>
          <a:p>
            <a:pPr>
              <a:defRPr sz="900" b="1">
                <a:solidFill>
                  <a:srgbClr val="1F1646"/>
                </a:solidFill>
              </a:defRPr>
            </a:pPr>
            <a:r>
              <a:rPr lang="en-AU" sz="900" b="1">
                <a:solidFill>
                  <a:srgbClr val="1F1646"/>
                </a:solidFill>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0.776</c:v>
                </c:pt>
                <c:pt idx="1">
                  <c:v>0.87</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Mathematics (latest year)</a:t>
            </a:r>
          </a:p>
          <a:p>
            <a:pPr>
              <a:defRPr sz="900" b="1">
                <a:solidFill>
                  <a:srgbClr val="1F1646"/>
                </a:solidFill>
              </a:defRPr>
            </a:pPr>
            <a:r>
              <a:rPr lang="en-AU" sz="900" b="1">
                <a:solidFill>
                  <a:srgbClr val="1F1646"/>
                </a:solidFill>
              </a:rPr>
              <a:t>Years Prep to 6</a:t>
            </a:r>
          </a:p>
        </c:rich>
      </c:tx>
      <c:spPr>
        <a:noFill/>
        <a:ln>
          <a:noFill/>
        </a:ln>
      </c:spPr>
      <c:txPr>
        <a:bodyPr rot="0" spcFirstLastPara="1" vertOverflow="ellipsis" vert="horz" wrap="square" anchor="ctr" anchorCtr="1"/>
        <a:lstStyle/>
        <a:p>
          <a:pP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numFmt formatCode="0.0%" sourceLinked="0"/>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0.744</c:v>
                </c:pt>
                <c:pt idx="1">
                  <c:v>0.872</c:v>
                </c:pt>
                <c:pt idx="2">
                  <c:v>0.859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0.739</c:v>
                </c:pt>
                <c:pt idx="1">
                  <c:v>0.731</c:v>
                </c:pt>
                <c:pt idx="2">
                  <c:v>0.687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(latest year)</a:t>
            </a:r>
          </a:p>
          <a:p>
            <a:pPr algn="ctr">
              <a:defRPr sz="900" b="1">
                <a:solidFill>
                  <a:srgbClr val="1F1646"/>
                </a:solidFill>
              </a:defRPr>
            </a:pPr>
            <a:r>
              <a:rPr lang="en-AU" sz="900" b="1">
                <a:solidFill>
                  <a:srgbClr val="1F1646"/>
                </a:solidFill>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0.708</c:v>
                </c:pt>
                <c:pt idx="1">
                  <c:v>0.741</c:v>
                </c:pt>
                <c:pt idx="2">
                  <c:v>0.73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3</a:t>
            </a:r>
          </a:p>
        </c:rich>
      </c:tx>
      <c:layout>
        <c:manualLayout>
          <c:xMode val="edge"/>
          <c:yMode val="edge"/>
          <c:x val="0.26043724081604486"/>
          <c:y val="0.052521633038057743"/>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0.727</c:v>
                </c:pt>
                <c:pt idx="1">
                  <c:v>0.665</c:v>
                </c:pt>
                <c:pt idx="2">
                  <c:v>0.655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Numeracy (latest year)</a:t>
            </a:r>
          </a:p>
          <a:p>
            <a:pPr algn="ctr">
              <a:defRPr sz="900" b="1">
                <a:solidFill>
                  <a:srgbClr val="1F1646"/>
                </a:solidFill>
              </a:defRPr>
            </a:pPr>
            <a:r>
              <a:rPr lang="en-AU" sz="900" b="1">
                <a:solidFill>
                  <a:srgbClr val="1F1646"/>
                </a:solidFill>
              </a:rPr>
              <a:t>Year 5</a:t>
            </a:r>
          </a:p>
        </c:rich>
      </c:tx>
      <c:layout>
        <c:manualLayout>
          <c:xMode val="edge"/>
          <c:yMode val="edge"/>
          <c:x val="0.26043724081604486"/>
          <c:y val="0.05968770505249344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0.64</c:v>
                </c:pt>
                <c:pt idx="1">
                  <c:v>0.671</c:v>
                </c:pt>
                <c:pt idx="2">
                  <c:v>0.673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Strong or Exceeding</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r>
              <a:rPr lang="en-AU" sz="900" b="1">
                <a:solidFill>
                  <a:srgbClr val="1F1646"/>
                </a:solidFill>
              </a:rPr>
              <a:t>NAPLAN Reading (2022)</a:t>
            </a:r>
          </a:p>
          <a:p>
            <a:pPr algn="ctr">
              <a:defRPr sz="900" b="1">
                <a:solidFill>
                  <a:srgbClr val="1F1646"/>
                </a:solidFill>
              </a:defRPr>
            </a:pPr>
            <a:r>
              <a:rPr lang="en-AU" sz="900" b="1">
                <a:solidFill>
                  <a:srgbClr val="1F1646"/>
                </a:solidFill>
              </a:rPr>
              <a:t>Year 3</a:t>
            </a:r>
          </a:p>
        </c:rich>
      </c:tx>
      <c:layout>
        <c:manualLayout>
          <c:xMode val="edge"/>
          <c:yMode val="edge"/>
          <c:x val="0.338177111422716"/>
          <c:y val="0.033658792650918638"/>
        </c:manualLayout>
      </c:layout>
      <c:spPr>
        <a:noFill/>
        <a:ln>
          <a:noFill/>
        </a:ln>
      </c:spPr>
      <c:txPr>
        <a:bodyPr rot="0" spcFirstLastPara="1" vertOverflow="ellipsis" vert="horz" wrap="square" anchor="ctr" anchorCtr="1"/>
        <a:lstStyle/>
        <a:p>
          <a:pPr algn="ctr">
            <a:defRPr sz="900" b="1" i="0" u="none" strike="noStrike" kern="1200" spc="0" baseline="0">
              <a:solidFill>
                <a:srgbClr val="1F1646"/>
              </a:solidFill>
              <a:latin typeface="Arial" panose="020B0604020202020204" pitchFamily="34" charset="0"/>
              <a:ea typeface="+mn-ea"/>
              <a:cs typeface="Arial" panose="020B0604020202020204" pitchFamily="34" charset="0"/>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D40032"/>
              </a:solidFill>
              <a:ln>
                <a:noFill/>
              </a:ln>
            </c:spPr>
          </c:dPt>
          <c:dPt>
            <c:idx val="1"/>
            <c:invertIfNegative val="0"/>
            <c:bubble3D val="0"/>
            <c:spPr>
              <a:solidFill>
                <a:srgbClr val="88DBDF"/>
              </a:solidFill>
              <a:ln>
                <a:noFill/>
              </a:ln>
            </c:spPr>
          </c:dPt>
          <c:dPt>
            <c:idx val="2"/>
            <c:invertIfNegative val="0"/>
            <c:bubble3D val="0"/>
            <c:spPr>
              <a:solidFill>
                <a:srgbClr val="1F1646"/>
              </a:solidFill>
              <a:ln>
                <a:noFill/>
              </a:ln>
            </c:spPr>
          </c:dPt>
          <c:dLbls>
            <c:spPr>
              <a:noFill/>
              <a:ln>
                <a:noFill/>
              </a:ln>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0.739</c:v>
                </c:pt>
                <c:pt idx="1">
                  <c:v>0.821</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Percentage of students in top three bands</a:t>
                </a:r>
              </a:p>
            </c:rich>
          </c:tx>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26cb8-9245-4716-8b42-991f5d301053">
      <Terms xmlns="http://schemas.microsoft.com/office/infopath/2007/PartnerControls"/>
    </lcf76f155ced4ddcb4097134ff3c332f>
    <TaxCatchAll xmlns="37a2b200-f654-4ad0-9a63-c032a64fd972" xsi:nil="true"/>
    <BrandRefreshActivity xmlns="b5426cb8-9245-4716-8b42-991f5d301053">October 2024</BrandRefresh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841D4F8-37F1-4DDD-8002-C4F9F46F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3</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Daga Mikolaj</dc:creator>
  <cp:lastModifiedBy>Reshma Karunakaran</cp:lastModifiedBy>
  <cp:revision>39</cp:revision>
  <dcterms:created xsi:type="dcterms:W3CDTF">2024-12-23T23:00:00Z</dcterms:created>
  <dcterms:modified xsi:type="dcterms:W3CDTF">2025-05-20T23:59:00Z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0x0101008A1D4BEE45E56445A345776DEB70A286</vt:lpwstr>
  </property>
  <property fmtid="{D5CDD505-2E9C-101B-9397-08002B2CF9AE}" pid="6" name="MediaServiceImageTags">
    <vt:lpwstr/>
  </property>
</Properties>
</file>